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BD261F" w:rsidRPr="00BD261F" w:rsidTr="00BD261F">
        <w:trPr>
          <w:tblCellSpacing w:w="0" w:type="dxa"/>
        </w:trPr>
        <w:tc>
          <w:tcPr>
            <w:tcW w:w="0" w:type="auto"/>
            <w:vAlign w:val="center"/>
            <w:hideMark/>
          </w:tcPr>
          <w:p w:rsidR="00BD261F" w:rsidRPr="00BD261F" w:rsidRDefault="00BD261F" w:rsidP="00BD261F">
            <w:pPr>
              <w:widowControl/>
              <w:spacing w:line="270" w:lineRule="atLeast"/>
              <w:ind w:firstLine="883"/>
              <w:jc w:val="center"/>
              <w:rPr>
                <w:rFonts w:ascii="宋体" w:eastAsia="宋体" w:hAnsi="宋体" w:cs="宋体" w:hint="eastAsia"/>
                <w:color w:val="000000"/>
                <w:kern w:val="0"/>
                <w:sz w:val="24"/>
                <w:szCs w:val="24"/>
              </w:rPr>
            </w:pPr>
            <w:r w:rsidRPr="00BD261F">
              <w:rPr>
                <w:rFonts w:ascii="宋体" w:eastAsia="宋体" w:hAnsi="宋体" w:cs="宋体" w:hint="eastAsia"/>
                <w:b/>
                <w:bCs/>
                <w:color w:val="000000"/>
                <w:kern w:val="0"/>
                <w:sz w:val="44"/>
                <w:szCs w:val="44"/>
              </w:rPr>
              <w:t>贵阳中医学院高层次人才</w:t>
            </w:r>
          </w:p>
          <w:p w:rsidR="00BD261F" w:rsidRPr="00BD261F" w:rsidRDefault="00BD261F" w:rsidP="00BD261F">
            <w:pPr>
              <w:widowControl/>
              <w:spacing w:line="270" w:lineRule="atLeast"/>
              <w:ind w:firstLine="883"/>
              <w:jc w:val="center"/>
              <w:rPr>
                <w:rFonts w:ascii="宋体" w:eastAsia="宋体" w:hAnsi="宋体" w:cs="宋体"/>
                <w:color w:val="000000"/>
                <w:kern w:val="0"/>
                <w:sz w:val="24"/>
                <w:szCs w:val="24"/>
              </w:rPr>
            </w:pPr>
            <w:r w:rsidRPr="00BD261F">
              <w:rPr>
                <w:rFonts w:ascii="宋体" w:eastAsia="宋体" w:hAnsi="宋体" w:cs="宋体" w:hint="eastAsia"/>
                <w:b/>
                <w:bCs/>
                <w:color w:val="000000"/>
                <w:kern w:val="0"/>
                <w:sz w:val="44"/>
                <w:szCs w:val="44"/>
              </w:rPr>
              <w:t>引进与管理办法</w:t>
            </w:r>
          </w:p>
          <w:p w:rsidR="00BD261F" w:rsidRPr="00BD261F" w:rsidRDefault="00BD261F" w:rsidP="00BD261F">
            <w:pPr>
              <w:widowControl/>
              <w:spacing w:line="270" w:lineRule="atLeast"/>
              <w:ind w:firstLine="640"/>
              <w:jc w:val="center"/>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（2015年修订）</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宋体" w:eastAsia="宋体" w:hAnsi="宋体" w:cs="宋体" w:hint="eastAsia"/>
                <w:color w:val="000000"/>
                <w:kern w:val="0"/>
                <w:sz w:val="32"/>
                <w:szCs w:val="32"/>
              </w:rPr>
              <w:t> </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为进一步加强我校专业技术人才队伍建设，吸引更多高层次人才来校工作，推动学科建设发展，促进教学和科研工作上水平、上层次。根据《中共贵州省委关于进一步实施科教兴黔战略大力加强人才队伍建设的决定》（黔党发[2012]31号）等有关文件精神，结合我校实际，制定本办法。</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一、高层次人才引进的相关规定</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（一）引进对象</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学校引进的高层次人才分为以下三个层次：</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第一层次：两院院士。</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第二层次：国家“千人计划”和“万人计划”入选者、长江学者、国家有突出贡献中青年专家、国家杰出专业技术人才、国家杰出青年科学基金获得者和国家级重点学科、重点实验室学术技术带头人。</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第三层次：具有学历学位的博士。</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（二）引进形式</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1、全职引进，即将引进人才的人事关系正式转入我校。</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2、柔性引进，即采取黔中学者、“候鸟型”专家、兼职教授、客座教授等形式灵活引进高层次人才，不求所有，</w:t>
            </w:r>
            <w:r w:rsidRPr="00BD261F">
              <w:rPr>
                <w:rFonts w:ascii="仿宋" w:eastAsia="仿宋" w:hAnsi="仿宋" w:cs="宋体" w:hint="eastAsia"/>
                <w:color w:val="000000"/>
                <w:kern w:val="0"/>
                <w:sz w:val="32"/>
                <w:szCs w:val="32"/>
              </w:rPr>
              <w:lastRenderedPageBreak/>
              <w:t>但求所用，实行合同管理。</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（三）相关待遇</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1、全职引进人才的待遇</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（1）住房补贴</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宋体" w:eastAsia="宋体" w:hAnsi="宋体" w:cs="宋体" w:hint="eastAsia"/>
                <w:color w:val="000000"/>
                <w:kern w:val="0"/>
                <w:sz w:val="32"/>
                <w:szCs w:val="32"/>
              </w:rPr>
              <w:t> </w:t>
            </w:r>
            <w:r w:rsidRPr="00BD261F">
              <w:rPr>
                <w:rFonts w:ascii="仿宋" w:eastAsia="仿宋" w:hAnsi="仿宋" w:cs="宋体" w:hint="eastAsia"/>
                <w:color w:val="000000"/>
                <w:kern w:val="0"/>
                <w:sz w:val="32"/>
                <w:szCs w:val="32"/>
              </w:rPr>
              <w:t>第一层次人才提供100万购房补贴（其中省财政提供60万）；第二层次人才提供购房补贴60万元（其中省财政提供36万元）；第三层次人才（含学校委培具有学历学位的博士）提供购房补贴15万元（其中省财政提供9万元）</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（2）安家费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引进的第一层次人才、第二层次人才和第三层次人才分别一次性提供安家费30万元、20万元、15万元。学校委培博士不提供安家费。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（3）人才津贴</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在享受省政府发放津贴的基础上,第一层次人才学校每月再发放津贴3000元；第二层次人才每月再发放津贴2000元；第三层次人才（含学校委培具有学历学位的博士）每月再发放津贴300元,10年服务期满，停止发放学校的人才津贴300元/月。</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（4）科研启动金</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宋体" w:eastAsia="宋体" w:hAnsi="宋体" w:cs="宋体" w:hint="eastAsia"/>
                <w:color w:val="000000"/>
                <w:kern w:val="0"/>
                <w:sz w:val="32"/>
                <w:szCs w:val="32"/>
              </w:rPr>
              <w:t> </w:t>
            </w:r>
            <w:r w:rsidRPr="00BD261F">
              <w:rPr>
                <w:rFonts w:ascii="仿宋" w:eastAsia="仿宋" w:hAnsi="仿宋" w:cs="宋体" w:hint="eastAsia"/>
                <w:color w:val="000000"/>
                <w:kern w:val="0"/>
                <w:sz w:val="32"/>
                <w:szCs w:val="32"/>
              </w:rPr>
              <w:t>第一层次人才一次性安排科研启动金100万元；第二层次人才一次性安排科研启动金30万元；第三层次人才（含学校委培具有学历学位的博士）在课题标书经专家评审通过</w:t>
            </w:r>
            <w:r w:rsidRPr="00BD261F">
              <w:rPr>
                <w:rFonts w:ascii="仿宋" w:eastAsia="仿宋" w:hAnsi="仿宋" w:cs="宋体" w:hint="eastAsia"/>
                <w:color w:val="000000"/>
                <w:kern w:val="0"/>
                <w:sz w:val="32"/>
                <w:szCs w:val="32"/>
              </w:rPr>
              <w:lastRenderedPageBreak/>
              <w:t>后，人文社科类博士一次性安排科研启动金3万元，自然科学类博士一次性安排科研启动金5万元。</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（5）职称待遇</w:t>
            </w:r>
          </w:p>
          <w:p w:rsidR="00BD261F" w:rsidRPr="00BD261F" w:rsidRDefault="00BD261F" w:rsidP="00BD261F">
            <w:pPr>
              <w:widowControl/>
              <w:spacing w:line="520" w:lineRule="atLeast"/>
              <w:ind w:firstLine="660"/>
              <w:jc w:val="left"/>
              <w:rPr>
                <w:rFonts w:ascii="宋体" w:eastAsia="宋体" w:hAnsi="宋体" w:cs="宋体"/>
                <w:color w:val="000000"/>
                <w:kern w:val="0"/>
                <w:sz w:val="24"/>
                <w:szCs w:val="24"/>
              </w:rPr>
            </w:pPr>
            <w:r w:rsidRPr="00BD261F">
              <w:rPr>
                <w:rFonts w:ascii="宋体" w:eastAsia="宋体" w:hAnsi="宋体" w:cs="宋体" w:hint="eastAsia"/>
                <w:color w:val="000000"/>
                <w:kern w:val="0"/>
                <w:sz w:val="32"/>
                <w:szCs w:val="32"/>
              </w:rPr>
              <w:t> </w:t>
            </w:r>
            <w:r w:rsidRPr="00BD261F">
              <w:rPr>
                <w:rFonts w:ascii="仿宋" w:eastAsia="仿宋" w:hAnsi="仿宋" w:cs="宋体" w:hint="eastAsia"/>
                <w:color w:val="000000"/>
                <w:kern w:val="0"/>
                <w:sz w:val="32"/>
                <w:szCs w:val="32"/>
              </w:rPr>
              <w:t>第一、二层次人才按引进时本人已具有的职称直接聘任，低于正高职称的，首个聘期（三年）校内聘为教授并享受相关待遇，聘期满后未正常晋升教授的，则按其实际职称聘用。第三层次人才（含学校委培具有学历学位的博士），按照国家相关政策聘用。若所引进的高层人才自身具有高级职称（副高级以上含副高级），在有空岗的情况下原则上同等条件下按其所具有职称资格优先聘用。</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（6）工作条件</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第一、二层次人才根据引进时双方商定的工作条件予以配备。第三层次人才（含学校委培具有学历学位的博士）由学校为其配备5000元以内的工作电脑壹台；提供花溪校区60M</w:t>
            </w:r>
            <w:r w:rsidRPr="00BD261F">
              <w:rPr>
                <w:rFonts w:ascii="仿宋" w:eastAsia="仿宋" w:hAnsi="仿宋" w:cs="宋体" w:hint="eastAsia"/>
                <w:color w:val="000000"/>
                <w:kern w:val="0"/>
                <w:sz w:val="32"/>
                <w:szCs w:val="32"/>
                <w:vertAlign w:val="superscript"/>
              </w:rPr>
              <w:t>2</w:t>
            </w:r>
            <w:r w:rsidRPr="00BD261F">
              <w:rPr>
                <w:rFonts w:ascii="仿宋" w:eastAsia="仿宋" w:hAnsi="仿宋" w:cs="宋体" w:hint="eastAsia"/>
                <w:color w:val="000000"/>
                <w:kern w:val="0"/>
                <w:sz w:val="32"/>
                <w:szCs w:val="32"/>
              </w:rPr>
              <w:t>左右公租房1套（按学校公租房相关规定执行）。</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（7）其他规定</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学校急需的第一、二层次人才和对学科建设有重要作用的高层次人才，引进待遇在上述基础上还可适当提高，具体待遇及工作条件由双方商定，报学校党委会批准后执行。</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2、柔性引进人才待遇</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柔性引进的高层次人才由双方商定待遇，并签订聘任合同书。合同书应包括引进对象来校的工作内容、权利义务、</w:t>
            </w:r>
            <w:r w:rsidRPr="00BD261F">
              <w:rPr>
                <w:rFonts w:ascii="仿宋" w:eastAsia="仿宋" w:hAnsi="仿宋" w:cs="宋体" w:hint="eastAsia"/>
                <w:color w:val="000000"/>
                <w:kern w:val="0"/>
                <w:sz w:val="32"/>
                <w:szCs w:val="32"/>
              </w:rPr>
              <w:lastRenderedPageBreak/>
              <w:t>工作生活条件、考核和每年来校工作时间等内容。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二、高层次人才引进工作职责及考核</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（一）学校的主要工作职责</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1、负责制定高层次人才引进政策和人才引进规划。</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2、审核二级学院、教学部人才引进年度计划，发布人才引进信息，统筹使用人才引进经费。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3、督促和检查二级学院、教学部人才引进工作进展情况，参与拟引进人才考核，审批、办理引进人才人事转接手续及兑现相关待遇。</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4、负责重大人才引进专项工作。</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（二）二级学院、教学部的主要工作职责</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1、根据学科建设发展需要，制定本部门年度人才引进计划，报学校审批。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2、负责拟引进对象的联系、审查、考核和撰写考察报告等具体工作。</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3、负责引进人才的聘后管理、使用和考核等工作。</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4、协助、配合学校完成重大人才引进专项工作。</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（三）工作要求及考核</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1、各二级学院、教学部在提交年度高层次人才引进计划时，须明确拟引进高层次人才的学科研究方向、引进层次、数量和工作安排意向等情况。</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2、各二级学院、教学部应主动开展工作，通过各种渠</w:t>
            </w:r>
            <w:r w:rsidRPr="00BD261F">
              <w:rPr>
                <w:rFonts w:ascii="仿宋" w:eastAsia="仿宋" w:hAnsi="仿宋" w:cs="宋体" w:hint="eastAsia"/>
                <w:color w:val="000000"/>
                <w:kern w:val="0"/>
                <w:sz w:val="32"/>
                <w:szCs w:val="32"/>
              </w:rPr>
              <w:lastRenderedPageBreak/>
              <w:t>道广泛收集相关专业、学科领域的高层次人才信息，建立高层次人才信息库，并及时向学校反馈高层次人才信息，必要时可以到拟引进对象学校或单位考察。</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3、名二级学院、教学部在撰写拟引进人才考察报告时，应对拟引进人才学术水平和业务能力作出简要评价，明确人才引进后的安排和使用，部门能够提供的工作条件、科研环境以及需学校解决的问题等内容。</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4、每年末，学校人才工作领导小组将对各二级学院、教学部人才引进计划的落实情况进行考核。无特殊原因，未能按时完成当年人才引进任务的，学校将对主要负责人问责。完成任务较好的院、部，学校将给予一定的奖励，作出突出贡献的，予以重奖。</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三、高层次人才的聘后管理</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（一）坚持引进、使用、培训、考核相结合的原则，引进人才主要由用人部门负责管理、使用、考核。组织部、人事处、科研处等职能部门履行相关管理职责。</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（二）引进人才须与学校签订10年以上的服务期合同，明确双方的权利与义务并进行考核。</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（三）服务期未到，引进人员单方面提出或要求终止协议(含调离、辞职、自动离职、解聘和自费出国留学)的，应按引进人才服务期合同的有关规定承担相应违约责任。</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（四）柔性引进的高层次人才，按双方签定的聘任合同</w:t>
            </w:r>
            <w:r w:rsidRPr="00BD261F">
              <w:rPr>
                <w:rFonts w:ascii="仿宋" w:eastAsia="仿宋" w:hAnsi="仿宋" w:cs="宋体" w:hint="eastAsia"/>
                <w:color w:val="000000"/>
                <w:kern w:val="0"/>
                <w:sz w:val="32"/>
                <w:szCs w:val="32"/>
              </w:rPr>
              <w:lastRenderedPageBreak/>
              <w:t>进行管理、考核。</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四、其他</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（一）本规定中的高层次人才待遇标准，学校将根据上级有关政策和我校实际，每年修订一次，若当年未修订，则按上一年的标准执行。</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（二）一、二附院引进高层次人才的工作可参照本规定执行。</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（三）学校引进的高层次人才在附院工作的，购房补贴和安家费由学校和附院各承担50%。</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五、附则</w:t>
            </w:r>
          </w:p>
          <w:p w:rsidR="00BD261F" w:rsidRPr="00BD261F" w:rsidRDefault="00BD261F" w:rsidP="00BD261F">
            <w:pPr>
              <w:widowControl/>
              <w:spacing w:line="52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（一）本办法自2016年1月1日起执行，《</w:t>
            </w:r>
            <w:bookmarkStart w:id="0" w:name="_GoBack"/>
            <w:r w:rsidRPr="00BD261F">
              <w:rPr>
                <w:rFonts w:ascii="仿宋" w:eastAsia="仿宋" w:hAnsi="仿宋" w:cs="宋体" w:hint="eastAsia"/>
                <w:color w:val="000000"/>
                <w:kern w:val="0"/>
                <w:sz w:val="32"/>
                <w:szCs w:val="32"/>
              </w:rPr>
              <w:t>2013年</w:t>
            </w:r>
            <w:bookmarkEnd w:id="0"/>
            <w:r w:rsidRPr="00BD261F">
              <w:rPr>
                <w:rFonts w:ascii="仿宋" w:eastAsia="仿宋" w:hAnsi="仿宋" w:cs="宋体" w:hint="eastAsia"/>
                <w:color w:val="000000"/>
                <w:kern w:val="0"/>
                <w:sz w:val="32"/>
                <w:szCs w:val="32"/>
              </w:rPr>
              <w:t>贵阳中医学院高层次人才引进与管理规定》（中医党发[2013]7号）同时废止。</w:t>
            </w:r>
          </w:p>
          <w:p w:rsidR="00BD261F" w:rsidRPr="00BD261F" w:rsidRDefault="00BD261F" w:rsidP="00BD261F">
            <w:pPr>
              <w:widowControl/>
              <w:spacing w:line="400" w:lineRule="atLeast"/>
              <w:ind w:firstLine="640"/>
              <w:jc w:val="left"/>
              <w:rPr>
                <w:rFonts w:ascii="宋体" w:eastAsia="宋体" w:hAnsi="宋体" w:cs="宋体"/>
                <w:color w:val="000000"/>
                <w:kern w:val="0"/>
                <w:sz w:val="24"/>
                <w:szCs w:val="24"/>
              </w:rPr>
            </w:pPr>
            <w:r w:rsidRPr="00BD261F">
              <w:rPr>
                <w:rFonts w:ascii="仿宋" w:eastAsia="仿宋" w:hAnsi="仿宋" w:cs="宋体" w:hint="eastAsia"/>
                <w:color w:val="000000"/>
                <w:kern w:val="0"/>
                <w:sz w:val="32"/>
                <w:szCs w:val="32"/>
              </w:rPr>
              <w:t>（二）本办法由人事处负责解释。</w:t>
            </w:r>
          </w:p>
        </w:tc>
      </w:tr>
      <w:tr w:rsidR="00BD261F" w:rsidRPr="00BD261F" w:rsidTr="00BD261F">
        <w:trPr>
          <w:tblCellSpacing w:w="0" w:type="dxa"/>
        </w:trPr>
        <w:tc>
          <w:tcPr>
            <w:tcW w:w="0" w:type="auto"/>
            <w:vAlign w:val="center"/>
            <w:hideMark/>
          </w:tcPr>
          <w:p w:rsidR="00BD261F" w:rsidRPr="00BD261F" w:rsidRDefault="00BD261F" w:rsidP="00BD261F">
            <w:pPr>
              <w:widowControl/>
              <w:jc w:val="center"/>
              <w:rPr>
                <w:rFonts w:ascii="宋体" w:eastAsia="宋体" w:hAnsi="宋体" w:cs="宋体"/>
                <w:color w:val="222222"/>
                <w:kern w:val="0"/>
                <w:sz w:val="18"/>
                <w:szCs w:val="18"/>
              </w:rPr>
            </w:pPr>
          </w:p>
        </w:tc>
      </w:tr>
      <w:tr w:rsidR="00BD261F" w:rsidRPr="00BD261F" w:rsidTr="00BD261F">
        <w:trPr>
          <w:tblCellSpacing w:w="0" w:type="dxa"/>
        </w:trPr>
        <w:tc>
          <w:tcPr>
            <w:tcW w:w="0" w:type="auto"/>
            <w:vAlign w:val="center"/>
            <w:hideMark/>
          </w:tcPr>
          <w:p w:rsidR="00BD261F" w:rsidRPr="00BD261F" w:rsidRDefault="00BD261F" w:rsidP="00BD261F">
            <w:pPr>
              <w:widowControl/>
              <w:jc w:val="left"/>
              <w:rPr>
                <w:rFonts w:ascii="宋体" w:eastAsia="宋体" w:hAnsi="宋体" w:cs="宋体"/>
                <w:color w:val="000000"/>
                <w:kern w:val="0"/>
                <w:sz w:val="18"/>
                <w:szCs w:val="18"/>
              </w:rPr>
            </w:pPr>
          </w:p>
        </w:tc>
      </w:tr>
      <w:tr w:rsidR="00BD261F" w:rsidRPr="00BD261F" w:rsidTr="00BD261F">
        <w:trPr>
          <w:tblCellSpacing w:w="0" w:type="dxa"/>
        </w:trPr>
        <w:tc>
          <w:tcPr>
            <w:tcW w:w="0" w:type="auto"/>
            <w:vAlign w:val="center"/>
            <w:hideMark/>
          </w:tcPr>
          <w:p w:rsidR="00BD261F" w:rsidRPr="00BD261F" w:rsidRDefault="00BD261F" w:rsidP="00BD261F">
            <w:pPr>
              <w:widowControl/>
              <w:jc w:val="center"/>
              <w:rPr>
                <w:rFonts w:ascii="宋体" w:eastAsia="宋体" w:hAnsi="宋体" w:cs="宋体"/>
                <w:color w:val="000000"/>
                <w:kern w:val="0"/>
                <w:sz w:val="18"/>
                <w:szCs w:val="18"/>
              </w:rPr>
            </w:pPr>
          </w:p>
        </w:tc>
      </w:tr>
      <w:tr w:rsidR="00BD261F" w:rsidRPr="00BD261F" w:rsidTr="00BD261F">
        <w:trPr>
          <w:tblCellSpacing w:w="0" w:type="dxa"/>
        </w:trPr>
        <w:tc>
          <w:tcPr>
            <w:tcW w:w="0" w:type="auto"/>
            <w:vAlign w:val="center"/>
            <w:hideMark/>
          </w:tcPr>
          <w:p w:rsidR="00BD261F" w:rsidRPr="00BD261F" w:rsidRDefault="00BD261F" w:rsidP="00BD261F">
            <w:pPr>
              <w:widowControl/>
              <w:jc w:val="center"/>
              <w:rPr>
                <w:rFonts w:ascii="宋体" w:eastAsia="宋体" w:hAnsi="宋体" w:cs="宋体"/>
                <w:color w:val="000000"/>
                <w:kern w:val="0"/>
                <w:sz w:val="18"/>
                <w:szCs w:val="18"/>
              </w:rPr>
            </w:pPr>
          </w:p>
        </w:tc>
      </w:tr>
      <w:tr w:rsidR="00BD261F" w:rsidRPr="00BD261F" w:rsidTr="00BD261F">
        <w:trPr>
          <w:tblCellSpacing w:w="0" w:type="dxa"/>
        </w:trPr>
        <w:tc>
          <w:tcPr>
            <w:tcW w:w="0" w:type="auto"/>
            <w:vAlign w:val="center"/>
            <w:hideMark/>
          </w:tcPr>
          <w:p w:rsidR="00BD261F" w:rsidRPr="00BD261F" w:rsidRDefault="00BD261F" w:rsidP="00BD261F">
            <w:pPr>
              <w:widowControl/>
              <w:jc w:val="left"/>
              <w:rPr>
                <w:rFonts w:ascii="宋体" w:eastAsia="宋体" w:hAnsi="宋体" w:cs="宋体"/>
                <w:color w:val="000000"/>
                <w:kern w:val="0"/>
                <w:sz w:val="18"/>
                <w:szCs w:val="18"/>
              </w:rPr>
            </w:pPr>
          </w:p>
        </w:tc>
      </w:tr>
    </w:tbl>
    <w:p w:rsidR="008C5524" w:rsidRPr="00BD261F" w:rsidRDefault="00920282"/>
    <w:sectPr w:rsidR="008C5524" w:rsidRPr="00BD261F"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82" w:rsidRDefault="00920282" w:rsidP="00BD261F">
      <w:r>
        <w:separator/>
      </w:r>
    </w:p>
  </w:endnote>
  <w:endnote w:type="continuationSeparator" w:id="0">
    <w:p w:rsidR="00920282" w:rsidRDefault="00920282" w:rsidP="00BD2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82" w:rsidRDefault="00920282" w:rsidP="00BD261F">
      <w:r>
        <w:separator/>
      </w:r>
    </w:p>
  </w:footnote>
  <w:footnote w:type="continuationSeparator" w:id="0">
    <w:p w:rsidR="00920282" w:rsidRDefault="00920282" w:rsidP="00BD26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61F"/>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282"/>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261F"/>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477FB"/>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2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61F"/>
    <w:rPr>
      <w:sz w:val="18"/>
      <w:szCs w:val="18"/>
    </w:rPr>
  </w:style>
  <w:style w:type="paragraph" w:styleId="a4">
    <w:name w:val="footer"/>
    <w:basedOn w:val="a"/>
    <w:link w:val="Char0"/>
    <w:uiPriority w:val="99"/>
    <w:semiHidden/>
    <w:unhideWhenUsed/>
    <w:rsid w:val="00BD26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261F"/>
    <w:rPr>
      <w:sz w:val="18"/>
      <w:szCs w:val="18"/>
    </w:rPr>
  </w:style>
</w:styles>
</file>

<file path=word/webSettings.xml><?xml version="1.0" encoding="utf-8"?>
<w:webSettings xmlns:r="http://schemas.openxmlformats.org/officeDocument/2006/relationships" xmlns:w="http://schemas.openxmlformats.org/wordprocessingml/2006/main">
  <w:divs>
    <w:div w:id="1100490066">
      <w:bodyDiv w:val="1"/>
      <w:marLeft w:val="0"/>
      <w:marRight w:val="0"/>
      <w:marTop w:val="0"/>
      <w:marBottom w:val="0"/>
      <w:divBdr>
        <w:top w:val="none" w:sz="0" w:space="0" w:color="auto"/>
        <w:left w:val="none" w:sz="0" w:space="0" w:color="auto"/>
        <w:bottom w:val="none" w:sz="0" w:space="0" w:color="auto"/>
        <w:right w:val="none" w:sz="0" w:space="0" w:color="auto"/>
      </w:divBdr>
      <w:divsChild>
        <w:div w:id="475682814">
          <w:marLeft w:val="0"/>
          <w:marRight w:val="0"/>
          <w:marTop w:val="0"/>
          <w:marBottom w:val="0"/>
          <w:divBdr>
            <w:top w:val="none" w:sz="0" w:space="0" w:color="auto"/>
            <w:left w:val="none" w:sz="0" w:space="0" w:color="auto"/>
            <w:bottom w:val="none" w:sz="0" w:space="0" w:color="auto"/>
            <w:right w:val="none" w:sz="0" w:space="0" w:color="auto"/>
          </w:divBdr>
          <w:divsChild>
            <w:div w:id="13300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2116</Characters>
  <Application>Microsoft Office Word</Application>
  <DocSecurity>0</DocSecurity>
  <Lines>17</Lines>
  <Paragraphs>4</Paragraphs>
  <ScaleCrop>false</ScaleCrop>
  <Company>微软中国</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2015-12-09T07:57:00Z</dcterms:created>
  <dcterms:modified xsi:type="dcterms:W3CDTF">2015-12-09T07:57:00Z</dcterms:modified>
</cp:coreProperties>
</file>