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napToGrid w:val="0"/>
        <w:spacing w:before="390" w:beforeAutospacing="0" w:after="0" w:afterAutospacing="0" w:line="360" w:lineRule="auto"/>
        <w:ind w:left="0" w:right="0"/>
        <w:jc w:val="left"/>
      </w:pPr>
      <w:r>
        <w:rPr>
          <w:rFonts w:hint="eastAsia" w:ascii="Arial" w:hAnsi="Arial" w:cs="Arial"/>
          <w:b/>
          <w:color w:val="464646"/>
          <w:sz w:val="30"/>
          <w:szCs w:val="30"/>
          <w:bdr w:val="none" w:color="auto" w:sz="0" w:space="0"/>
          <w:shd w:val="clear" w:fill="FFFFFF"/>
        </w:rPr>
        <w:t>岗位表：</w:t>
      </w:r>
    </w:p>
    <w:tbl>
      <w:tblPr>
        <w:tblW w:w="96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1110"/>
        <w:gridCol w:w="1727"/>
        <w:gridCol w:w="1233"/>
        <w:gridCol w:w="616"/>
        <w:gridCol w:w="1481"/>
        <w:gridCol w:w="1975"/>
        <w:gridCol w:w="10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18"/>
                <w:szCs w:val="18"/>
                <w:bdr w:val="none" w:color="auto" w:sz="0" w:space="0"/>
              </w:rPr>
              <w:t>招聘部门</w:t>
            </w:r>
          </w:p>
        </w:tc>
        <w:tc>
          <w:tcPr>
            <w:tcW w:w="1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18"/>
                <w:szCs w:val="18"/>
                <w:bdr w:val="none" w:color="auto" w:sz="0" w:space="0"/>
              </w:rPr>
              <w:t>岗位类别</w:t>
            </w:r>
          </w:p>
        </w:tc>
        <w:tc>
          <w:tcPr>
            <w:tcW w:w="6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18"/>
                <w:szCs w:val="18"/>
                <w:bdr w:val="none" w:color="auto" w:sz="0" w:space="0"/>
              </w:rPr>
              <w:t>需求数量</w:t>
            </w:r>
          </w:p>
        </w:tc>
        <w:tc>
          <w:tcPr>
            <w:tcW w:w="14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18"/>
                <w:szCs w:val="18"/>
                <w:bdr w:val="none" w:color="auto" w:sz="0" w:space="0"/>
              </w:rPr>
              <w:t>学历学位</w:t>
            </w:r>
          </w:p>
        </w:tc>
        <w:tc>
          <w:tcPr>
            <w:tcW w:w="1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bookmarkStart w:id="0" w:name="_GoBack" w:colFirst="4" w:colLast="4"/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18"/>
                <w:szCs w:val="18"/>
                <w:bdr w:val="none" w:color="auto" w:sz="0" w:space="0"/>
              </w:rPr>
              <w:t>基础医学院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人体解剖与组织胚胎学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硕士研究生以上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基础医学类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硕士研究生及以下学历均为人事代理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教学实验中心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其他专业技术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本科以上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基础医学、临床医学类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18"/>
                <w:szCs w:val="18"/>
                <w:bdr w:val="none" w:color="auto" w:sz="0" w:space="0"/>
              </w:rPr>
              <w:t>第二临床医学院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康复基础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康复临床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硕士研究生以上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康复医学、康复治疗学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针药结合实验室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生物信息学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18"/>
                <w:szCs w:val="18"/>
                <w:bdr w:val="none" w:color="auto" w:sz="0" w:space="0"/>
              </w:rPr>
              <w:t>经贸管理学院</w:t>
            </w:r>
          </w:p>
        </w:tc>
        <w:tc>
          <w:tcPr>
            <w:tcW w:w="17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公共管理系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硕士研究生以上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社会医学与卫生事业管理、公共卫生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保险学、医疗保险、社会保障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工商管理系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会计学、财务管理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18"/>
                <w:szCs w:val="18"/>
                <w:bdr w:val="none" w:color="auto" w:sz="0" w:space="0"/>
              </w:rPr>
              <w:t>护理学院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基础护理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硕士研究生以上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护理学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内科护理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护理学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外科护理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护理学、临床医学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18"/>
                <w:szCs w:val="18"/>
                <w:bdr w:val="none" w:color="auto" w:sz="0" w:space="0"/>
              </w:rPr>
              <w:t>外国语学院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大学英语第二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硕士研究生以上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外国语言学及应用语言学、英语语言文学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18"/>
                <w:szCs w:val="18"/>
                <w:bdr w:val="none" w:color="auto" w:sz="0" w:space="0"/>
              </w:rPr>
              <w:t>图书馆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流通部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其他专业技术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图书馆学、医学信息学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bookmarkEnd w:id="0"/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1257C"/>
    <w:rsid w:val="3C3125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464646"/>
      <w:u w:val="none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yperlink"/>
    <w:basedOn w:val="3"/>
    <w:uiPriority w:val="0"/>
    <w:rPr>
      <w:color w:val="464646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9">
    <w:name w:val="HTML Cite"/>
    <w:basedOn w:val="3"/>
    <w:uiPriority w:val="0"/>
    <w:rPr>
      <w:i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2015-11-25T09:13:00Z</dcterms:created>
  <dc:creator>Administrator</dc:creator>
  <cp:lastModifiedBy>Administrator</cp:lastModifiedBy>
  <dcterms:modified xsi:type="dcterms:W3CDTF">2015-11-25T09:14:11Z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