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66" w:rsidRDefault="00D02266">
      <w:r w:rsidRPr="00D02266">
        <w:t>1.2015</w:t>
      </w:r>
      <w:r w:rsidRPr="00D02266">
        <w:t>武汉音乐学院招聘岗位名额及具体条件</w:t>
      </w:r>
    </w:p>
    <w:tbl>
      <w:tblPr>
        <w:tblW w:w="0" w:type="auto"/>
        <w:tblCellSpacing w:w="0" w:type="dxa"/>
        <w:tblCellMar>
          <w:left w:w="0" w:type="dxa"/>
          <w:right w:w="0" w:type="dxa"/>
        </w:tblCellMar>
        <w:tblLook w:val="04A0"/>
      </w:tblPr>
      <w:tblGrid>
        <w:gridCol w:w="600"/>
        <w:gridCol w:w="1500"/>
        <w:gridCol w:w="1500"/>
        <w:gridCol w:w="6000"/>
      </w:tblGrid>
      <w:tr w:rsidR="00D02266" w:rsidRPr="00D02266" w:rsidTr="00D02266">
        <w:trPr>
          <w:trHeight w:val="390"/>
          <w:tblHeader/>
          <w:tblCellSpacing w:w="0" w:type="dxa"/>
        </w:trPr>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b/>
                <w:bCs/>
                <w:color w:val="000000"/>
                <w:kern w:val="0"/>
                <w:sz w:val="24"/>
                <w:szCs w:val="24"/>
              </w:rPr>
              <w:t>序号</w:t>
            </w:r>
          </w:p>
        </w:tc>
        <w:tc>
          <w:tcPr>
            <w:tcW w:w="15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b/>
                <w:bCs/>
                <w:color w:val="000000"/>
                <w:kern w:val="0"/>
                <w:sz w:val="24"/>
                <w:szCs w:val="24"/>
              </w:rPr>
              <w:t>岗位</w:t>
            </w:r>
          </w:p>
        </w:tc>
        <w:tc>
          <w:tcPr>
            <w:tcW w:w="15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b/>
                <w:bCs/>
                <w:color w:val="000000"/>
                <w:kern w:val="0"/>
                <w:sz w:val="24"/>
                <w:szCs w:val="24"/>
              </w:rPr>
              <w:t>名额</w:t>
            </w:r>
          </w:p>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b/>
                <w:bCs/>
                <w:color w:val="000000"/>
                <w:kern w:val="0"/>
                <w:sz w:val="24"/>
                <w:szCs w:val="24"/>
              </w:rPr>
              <w:t>共11人</w:t>
            </w:r>
          </w:p>
        </w:tc>
        <w:tc>
          <w:tcPr>
            <w:tcW w:w="60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ind w:left="90"/>
              <w:jc w:val="center"/>
              <w:rPr>
                <w:rFonts w:ascii="微软雅黑" w:eastAsia="微软雅黑" w:hAnsi="微软雅黑" w:cs="宋体"/>
                <w:color w:val="000000"/>
                <w:kern w:val="0"/>
                <w:sz w:val="24"/>
                <w:szCs w:val="24"/>
              </w:rPr>
            </w:pPr>
            <w:r w:rsidRPr="00D02266">
              <w:rPr>
                <w:rFonts w:ascii="仿宋" w:eastAsia="仿宋" w:hAnsi="微软雅黑" w:cs="宋体" w:hint="eastAsia"/>
                <w:b/>
                <w:bCs/>
                <w:color w:val="000000"/>
                <w:kern w:val="0"/>
                <w:sz w:val="24"/>
                <w:szCs w:val="24"/>
              </w:rPr>
              <w:t>具体条件</w:t>
            </w:r>
          </w:p>
        </w:tc>
      </w:tr>
      <w:tr w:rsidR="00D02266" w:rsidRPr="00D02266" w:rsidTr="00D02266">
        <w:trPr>
          <w:trHeight w:val="1140"/>
          <w:tblCellSpacing w:w="0" w:type="dxa"/>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资产管理</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w:t>
            </w:r>
          </w:p>
        </w:tc>
        <w:tc>
          <w:tcPr>
            <w:tcW w:w="6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二类及以上普通本科院校资产评估与管理专业或财经类（会计学、审计学、财务管理）专业2015届或2014届全日制硕士学位获得者，且本科学历为普通本科院校资产评估与管理专业或财经类（会计学、审计学、财务管理）专业全日制普通本科毕业并获得学士学位。1985（含）年以后出生。</w:t>
            </w:r>
          </w:p>
        </w:tc>
      </w:tr>
      <w:tr w:rsidR="00D02266" w:rsidRPr="00D02266" w:rsidTr="00D02266">
        <w:trPr>
          <w:trHeight w:val="1440"/>
          <w:tblCellSpacing w:w="0" w:type="dxa"/>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2</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机电维护</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w:t>
            </w:r>
          </w:p>
        </w:tc>
        <w:tc>
          <w:tcPr>
            <w:tcW w:w="6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二类及以上普通本科院校机电工程专业或机电类（电气工程、机电一体化）2015届或2014届全日制硕士学位获得者，且本科学历为普通本科院校机电工程专业全日制普通本科毕业并获得学士学位。1985（含）年以后出生。</w:t>
            </w:r>
          </w:p>
        </w:tc>
      </w:tr>
      <w:tr w:rsidR="00D02266" w:rsidRPr="00D02266" w:rsidTr="00D02266">
        <w:trPr>
          <w:trHeight w:val="1665"/>
          <w:tblCellSpacing w:w="0" w:type="dxa"/>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3</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校园治安</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w:t>
            </w:r>
          </w:p>
        </w:tc>
        <w:tc>
          <w:tcPr>
            <w:tcW w:w="6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警官或公安院校2015届或2014届全日制硕士学位获得者或普通本科院校公共治安、公共安全及相关专业2015届或2014届全日制硕士学位获得者，且本科学历为警官或公安院校全日制普通本科毕业并获得学士学位或普通本科院校公共治安、公共安全及相关专业全日制普通本科毕业并获得学士学位。中共党员。1985（含）年以后出生。</w:t>
            </w:r>
          </w:p>
        </w:tc>
      </w:tr>
      <w:tr w:rsidR="00D02266" w:rsidRPr="00D02266" w:rsidTr="00D02266">
        <w:trPr>
          <w:trHeight w:val="1665"/>
          <w:tblCellSpacing w:w="0" w:type="dxa"/>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lastRenderedPageBreak/>
              <w:t>4</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通俗声乐演唱</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w:t>
            </w:r>
          </w:p>
        </w:tc>
        <w:tc>
          <w:tcPr>
            <w:tcW w:w="6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国外院校或国内9所音乐学院音乐表演专业通俗演唱（流行音乐演唱）方向2015届或2014届全日制硕士及以上学位获得者，如在国内取得本科学历，须为国内9所音乐学院音乐表演专业声乐演唱方向全日制普通本科毕业并获得学士学位；</w:t>
            </w:r>
          </w:p>
          <w:p w:rsidR="00D02266" w:rsidRPr="00D02266" w:rsidRDefault="00D02266" w:rsidP="00D02266">
            <w:pPr>
              <w:widowControl/>
              <w:wordWrap w:val="0"/>
              <w:spacing w:before="45" w:after="45" w:line="345" w:lineRule="atLeast"/>
              <w:jc w:val="left"/>
              <w:rPr>
                <w:rFonts w:ascii="微软雅黑" w:eastAsia="微软雅黑" w:hAnsi="微软雅黑" w:cs="宋体" w:hint="eastAsia"/>
                <w:color w:val="000000"/>
                <w:kern w:val="0"/>
                <w:sz w:val="24"/>
                <w:szCs w:val="24"/>
              </w:rPr>
            </w:pPr>
            <w:r w:rsidRPr="00D02266">
              <w:rPr>
                <w:rFonts w:ascii="仿宋" w:eastAsia="仿宋" w:hAnsi="微软雅黑" w:cs="宋体" w:hint="eastAsia"/>
                <w:color w:val="000000"/>
                <w:kern w:val="0"/>
                <w:sz w:val="24"/>
                <w:szCs w:val="24"/>
              </w:rPr>
              <w:t>2、国外学历学位须获教育部留学服务中心认证；</w:t>
            </w:r>
          </w:p>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3、硕士1985（含）年以后出生；获与博士学位同一层次艺术家文凭者年龄可适当放宽。</w:t>
            </w:r>
          </w:p>
        </w:tc>
      </w:tr>
      <w:tr w:rsidR="00D02266" w:rsidRPr="00D02266" w:rsidTr="00D02266">
        <w:trPr>
          <w:trHeight w:val="1665"/>
          <w:tblCellSpacing w:w="0" w:type="dxa"/>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5</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合唱指挥</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w:t>
            </w:r>
          </w:p>
        </w:tc>
        <w:tc>
          <w:tcPr>
            <w:tcW w:w="6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1、国外院校或中央音乐学院、中国音乐学院、上海音乐学院指挥系合唱指挥方向2015届或2014届全日制硕士及以上学位获得者，如在国内取得本科学历，须为国内9所音乐学院</w:t>
            </w:r>
            <w:r w:rsidRPr="00D02266">
              <w:rPr>
                <w:rFonts w:ascii="宋体" w:eastAsia="宋体" w:hAnsi="宋体" w:cs="宋体" w:hint="eastAsia"/>
                <w:color w:val="000000"/>
                <w:kern w:val="0"/>
                <w:sz w:val="24"/>
                <w:szCs w:val="24"/>
                <w:shd w:val="clear" w:color="auto" w:fill="F5F8FD"/>
              </w:rPr>
              <w:t>指挥系</w:t>
            </w:r>
            <w:r w:rsidRPr="00D02266">
              <w:rPr>
                <w:rFonts w:ascii="仿宋" w:eastAsia="仿宋" w:hAnsi="微软雅黑" w:cs="宋体" w:hint="eastAsia"/>
                <w:color w:val="000000"/>
                <w:kern w:val="0"/>
                <w:sz w:val="24"/>
                <w:szCs w:val="24"/>
              </w:rPr>
              <w:t>指挥方向全日制普通本科毕业并获得学士学位；</w:t>
            </w:r>
          </w:p>
          <w:p w:rsidR="00D02266" w:rsidRPr="00D02266" w:rsidRDefault="00D02266" w:rsidP="00D02266">
            <w:pPr>
              <w:widowControl/>
              <w:wordWrap w:val="0"/>
              <w:spacing w:before="45" w:after="45" w:line="345" w:lineRule="atLeast"/>
              <w:jc w:val="left"/>
              <w:rPr>
                <w:rFonts w:ascii="微软雅黑" w:eastAsia="微软雅黑" w:hAnsi="微软雅黑" w:cs="宋体" w:hint="eastAsia"/>
                <w:color w:val="000000"/>
                <w:kern w:val="0"/>
                <w:sz w:val="24"/>
                <w:szCs w:val="24"/>
              </w:rPr>
            </w:pPr>
            <w:r w:rsidRPr="00D02266">
              <w:rPr>
                <w:rFonts w:ascii="仿宋" w:eastAsia="仿宋" w:hAnsi="微软雅黑" w:cs="宋体" w:hint="eastAsia"/>
                <w:color w:val="000000"/>
                <w:kern w:val="0"/>
                <w:sz w:val="24"/>
                <w:szCs w:val="24"/>
              </w:rPr>
              <w:t>2、国外学历学位须获教育部留学服务中心认证；</w:t>
            </w:r>
          </w:p>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3、硕士1985（含）年以后出生；博士年龄可适当放宽。</w:t>
            </w:r>
          </w:p>
        </w:tc>
      </w:tr>
      <w:tr w:rsidR="00D02266" w:rsidRPr="00D02266" w:rsidTr="00D02266">
        <w:trPr>
          <w:trHeight w:val="1665"/>
          <w:tblCellSpacing w:w="0" w:type="dxa"/>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6</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西洋打击乐器</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w:t>
            </w:r>
          </w:p>
        </w:tc>
        <w:tc>
          <w:tcPr>
            <w:tcW w:w="6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国外院校或中央音乐学院、上海音乐学院2015届或2014届西洋打击乐器方向全日制硕士及以上学位获得者，如在国内取得本科学历，须为国内9所音乐学院管弦系西洋打击乐器方向全日制普通本科毕业并获得学士学位；</w:t>
            </w:r>
          </w:p>
          <w:p w:rsidR="00D02266" w:rsidRPr="00D02266" w:rsidRDefault="00D02266" w:rsidP="00D02266">
            <w:pPr>
              <w:widowControl/>
              <w:wordWrap w:val="0"/>
              <w:spacing w:before="45" w:after="45" w:line="345" w:lineRule="atLeast"/>
              <w:jc w:val="left"/>
              <w:rPr>
                <w:rFonts w:ascii="微软雅黑" w:eastAsia="微软雅黑" w:hAnsi="微软雅黑" w:cs="宋体" w:hint="eastAsia"/>
                <w:color w:val="000000"/>
                <w:kern w:val="0"/>
                <w:sz w:val="24"/>
                <w:szCs w:val="24"/>
              </w:rPr>
            </w:pPr>
            <w:r w:rsidRPr="00D02266">
              <w:rPr>
                <w:rFonts w:ascii="仿宋" w:eastAsia="仿宋" w:hAnsi="微软雅黑" w:cs="宋体" w:hint="eastAsia"/>
                <w:color w:val="000000"/>
                <w:kern w:val="0"/>
                <w:sz w:val="24"/>
                <w:szCs w:val="24"/>
              </w:rPr>
              <w:lastRenderedPageBreak/>
              <w:t>2、国外学历学位须获教育部留学服务中心认证；</w:t>
            </w:r>
          </w:p>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3、硕士1985（含）年以后出生；获与博士学位同一层次艺术家文凭者年龄可适当放宽。</w:t>
            </w:r>
          </w:p>
        </w:tc>
      </w:tr>
      <w:tr w:rsidR="00D02266" w:rsidRPr="00D02266" w:rsidTr="00D02266">
        <w:trPr>
          <w:trHeight w:val="1665"/>
          <w:tblCellSpacing w:w="0" w:type="dxa"/>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lastRenderedPageBreak/>
              <w:t>7</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音乐治疗</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w:t>
            </w:r>
          </w:p>
        </w:tc>
        <w:tc>
          <w:tcPr>
            <w:tcW w:w="6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1、国外院校或中央音乐学院2015届或2014届音乐治疗方向全日制硕士及以上学位获得者，如在国内取得本科学历，须为中央音乐学院音乐治疗方向全日制普通本科毕业并获得学士学位；</w:t>
            </w:r>
          </w:p>
          <w:p w:rsidR="00D02266" w:rsidRPr="00D02266" w:rsidRDefault="00D02266" w:rsidP="00D02266">
            <w:pPr>
              <w:widowControl/>
              <w:wordWrap w:val="0"/>
              <w:spacing w:before="45" w:after="45" w:line="345" w:lineRule="atLeast"/>
              <w:jc w:val="left"/>
              <w:rPr>
                <w:rFonts w:ascii="微软雅黑" w:eastAsia="微软雅黑" w:hAnsi="微软雅黑" w:cs="宋体" w:hint="eastAsia"/>
                <w:color w:val="000000"/>
                <w:kern w:val="0"/>
                <w:sz w:val="24"/>
                <w:szCs w:val="24"/>
              </w:rPr>
            </w:pPr>
            <w:r w:rsidRPr="00D02266">
              <w:rPr>
                <w:rFonts w:ascii="仿宋" w:eastAsia="仿宋" w:hAnsi="微软雅黑" w:cs="宋体" w:hint="eastAsia"/>
                <w:color w:val="000000"/>
                <w:kern w:val="0"/>
                <w:sz w:val="24"/>
                <w:szCs w:val="24"/>
              </w:rPr>
              <w:t>2、国外学历学位须获教育部留学服务中心认证；</w:t>
            </w:r>
          </w:p>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3、硕士1985（含）年以后出生；博士年龄可适当放宽。</w:t>
            </w:r>
          </w:p>
        </w:tc>
      </w:tr>
      <w:tr w:rsidR="00D02266" w:rsidRPr="00D02266" w:rsidTr="00D02266">
        <w:trPr>
          <w:trHeight w:val="1665"/>
          <w:tblCellSpacing w:w="0" w:type="dxa"/>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8</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和声</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w:t>
            </w:r>
          </w:p>
        </w:tc>
        <w:tc>
          <w:tcPr>
            <w:tcW w:w="6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国外院校或中央音乐学院、中国音乐学院、上海音乐学院作曲与作曲技术理论专业和声方向2015届或2014届博士学位获得者，如在国内取得硕士或本科学历，须为国内9所音乐学院作曲与作曲技术理论和声方向全日制硕士或作曲与作曲技术理论专业全日制普通本科毕业并获得学士学位；</w:t>
            </w:r>
          </w:p>
          <w:p w:rsidR="00D02266" w:rsidRPr="00D02266" w:rsidRDefault="00D02266" w:rsidP="00D02266">
            <w:pPr>
              <w:widowControl/>
              <w:wordWrap w:val="0"/>
              <w:spacing w:before="45" w:after="45" w:line="345" w:lineRule="atLeast"/>
              <w:jc w:val="left"/>
              <w:rPr>
                <w:rFonts w:ascii="微软雅黑" w:eastAsia="微软雅黑" w:hAnsi="微软雅黑" w:cs="宋体" w:hint="eastAsia"/>
                <w:color w:val="000000"/>
                <w:kern w:val="0"/>
                <w:sz w:val="24"/>
                <w:szCs w:val="24"/>
              </w:rPr>
            </w:pPr>
            <w:r w:rsidRPr="00D02266">
              <w:rPr>
                <w:rFonts w:ascii="仿宋" w:eastAsia="仿宋" w:hAnsi="微软雅黑" w:cs="宋体" w:hint="eastAsia"/>
                <w:color w:val="000000"/>
                <w:kern w:val="0"/>
                <w:sz w:val="24"/>
                <w:szCs w:val="24"/>
              </w:rPr>
              <w:t>2、国外学历学位须获教育部留学服务中心认证；</w:t>
            </w:r>
          </w:p>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3、1982（含）年以后出生，特别优秀者年龄可适当放宽。</w:t>
            </w:r>
          </w:p>
        </w:tc>
      </w:tr>
      <w:tr w:rsidR="00D02266" w:rsidRPr="00D02266" w:rsidTr="00D02266">
        <w:trPr>
          <w:trHeight w:val="1665"/>
          <w:tblCellSpacing w:w="0" w:type="dxa"/>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lastRenderedPageBreak/>
              <w:t>9</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艺术管理</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w:t>
            </w:r>
          </w:p>
        </w:tc>
        <w:tc>
          <w:tcPr>
            <w:tcW w:w="6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国外院校或中央音乐学院、中国音乐学院、上海音乐学院艺术管理方向2015届或2014届全日制硕士及以上学位获得者，如在国内取得本科学历，须为国内9所音乐学院艺术管理方向全日制普通本科毕业并获得学士学位；</w:t>
            </w:r>
          </w:p>
          <w:p w:rsidR="00D02266" w:rsidRPr="00D02266" w:rsidRDefault="00D02266" w:rsidP="00D02266">
            <w:pPr>
              <w:widowControl/>
              <w:wordWrap w:val="0"/>
              <w:spacing w:before="45" w:after="45" w:line="345" w:lineRule="atLeast"/>
              <w:jc w:val="left"/>
              <w:rPr>
                <w:rFonts w:ascii="微软雅黑" w:eastAsia="微软雅黑" w:hAnsi="微软雅黑" w:cs="宋体" w:hint="eastAsia"/>
                <w:color w:val="000000"/>
                <w:kern w:val="0"/>
                <w:sz w:val="24"/>
                <w:szCs w:val="24"/>
              </w:rPr>
            </w:pPr>
            <w:r w:rsidRPr="00D02266">
              <w:rPr>
                <w:rFonts w:ascii="仿宋" w:eastAsia="仿宋" w:hAnsi="微软雅黑" w:cs="宋体" w:hint="eastAsia"/>
                <w:color w:val="000000"/>
                <w:kern w:val="0"/>
                <w:sz w:val="24"/>
                <w:szCs w:val="24"/>
              </w:rPr>
              <w:t>2、国外学位须获国家留学服务中心认证；</w:t>
            </w:r>
          </w:p>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3、硕士1985（含）年以后出生；博士年龄可适当放宽。</w:t>
            </w:r>
          </w:p>
        </w:tc>
      </w:tr>
      <w:tr w:rsidR="00D02266" w:rsidRPr="00D02266" w:rsidTr="00D02266">
        <w:trPr>
          <w:trHeight w:val="1665"/>
          <w:tblCellSpacing w:w="0" w:type="dxa"/>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10</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灯光维护</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w:t>
            </w:r>
          </w:p>
        </w:tc>
        <w:tc>
          <w:tcPr>
            <w:tcW w:w="6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中央戏剧学院、中央戏曲学院、北京舞蹈学院、北京电影学院、上海戏剧学院舞台灯光设计方向及相关专业2015届或2014届全日制硕士学位获得者，且本科学历为中央戏剧学院、中央戏曲学院、北京舞蹈学院、北京电影学院、上海戏剧学院舞台灯光设计方向及相关专业全日制普通本科毕业并获得学士学位。具有较高的灯光艺术设计和操控能力。1985（含）年以后出生。</w:t>
            </w:r>
          </w:p>
        </w:tc>
      </w:tr>
      <w:tr w:rsidR="00D02266" w:rsidRPr="00D02266" w:rsidTr="00D02266">
        <w:trPr>
          <w:trHeight w:val="1365"/>
          <w:tblCellSpacing w:w="0" w:type="dxa"/>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11</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医师</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center"/>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1</w:t>
            </w:r>
          </w:p>
        </w:tc>
        <w:tc>
          <w:tcPr>
            <w:tcW w:w="6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02266" w:rsidRPr="00D02266" w:rsidRDefault="00D02266" w:rsidP="00D02266">
            <w:pPr>
              <w:widowControl/>
              <w:wordWrap w:val="0"/>
              <w:spacing w:before="45" w:after="45" w:line="345" w:lineRule="atLeast"/>
              <w:jc w:val="left"/>
              <w:rPr>
                <w:rFonts w:ascii="微软雅黑" w:eastAsia="微软雅黑" w:hAnsi="微软雅黑" w:cs="宋体"/>
                <w:color w:val="000000"/>
                <w:kern w:val="0"/>
                <w:sz w:val="24"/>
                <w:szCs w:val="24"/>
              </w:rPr>
            </w:pPr>
            <w:r w:rsidRPr="00D02266">
              <w:rPr>
                <w:rFonts w:ascii="仿宋" w:eastAsia="仿宋" w:hAnsi="微软雅黑" w:cs="宋体" w:hint="eastAsia"/>
                <w:color w:val="000000"/>
                <w:kern w:val="0"/>
                <w:sz w:val="24"/>
                <w:szCs w:val="24"/>
              </w:rPr>
              <w:t>普通本科院校内科、五官科、全科等专业全日制硕士或学士学位获得者，取得医师资格；本科毕业后有五年以上临床工作经验，研究生毕业后有两年以上临床工作经验（工作经验计算截至时间为2015年1月1日）。男性1977（含）年以后出生，女性1980（含）年以后出生。</w:t>
            </w:r>
          </w:p>
        </w:tc>
      </w:tr>
    </w:tbl>
    <w:p w:rsidR="00D02266" w:rsidRPr="00D02266" w:rsidRDefault="00D02266" w:rsidP="00D02266">
      <w:pPr>
        <w:widowControl/>
        <w:wordWrap w:val="0"/>
        <w:spacing w:before="45" w:line="345" w:lineRule="atLeast"/>
        <w:jc w:val="left"/>
        <w:rPr>
          <w:rFonts w:ascii="微软雅黑" w:eastAsia="微软雅黑" w:hAnsi="微软雅黑" w:cs="宋体"/>
          <w:color w:val="000000"/>
          <w:kern w:val="0"/>
          <w:sz w:val="24"/>
          <w:szCs w:val="24"/>
        </w:rPr>
      </w:pPr>
      <w:r w:rsidRPr="00D02266">
        <w:rPr>
          <w:rFonts w:ascii="仿宋_GB2312" w:eastAsia="仿宋_GB2312" w:hAnsi="微软雅黑" w:cs="宋体" w:hint="eastAsia"/>
          <w:color w:val="000000"/>
          <w:kern w:val="0"/>
          <w:sz w:val="24"/>
          <w:szCs w:val="24"/>
        </w:rPr>
        <w:lastRenderedPageBreak/>
        <w:t> </w:t>
      </w:r>
    </w:p>
    <w:p w:rsidR="0008561F" w:rsidRPr="00D02266" w:rsidRDefault="0008561F" w:rsidP="00D02266"/>
    <w:sectPr w:rsidR="0008561F" w:rsidRPr="00D02266" w:rsidSect="00D32D8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61F" w:rsidRDefault="0008561F" w:rsidP="00D32D87">
      <w:r>
        <w:separator/>
      </w:r>
    </w:p>
  </w:endnote>
  <w:endnote w:type="continuationSeparator" w:id="1">
    <w:p w:rsidR="0008561F" w:rsidRDefault="0008561F" w:rsidP="00D32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61F" w:rsidRDefault="0008561F" w:rsidP="00D32D87">
      <w:r>
        <w:separator/>
      </w:r>
    </w:p>
  </w:footnote>
  <w:footnote w:type="continuationSeparator" w:id="1">
    <w:p w:rsidR="0008561F" w:rsidRDefault="0008561F" w:rsidP="00D32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D87"/>
    <w:rsid w:val="0008561F"/>
    <w:rsid w:val="00113F1A"/>
    <w:rsid w:val="0043077C"/>
    <w:rsid w:val="004E6BF8"/>
    <w:rsid w:val="00AA7800"/>
    <w:rsid w:val="00C5761D"/>
    <w:rsid w:val="00CB4DBE"/>
    <w:rsid w:val="00D02266"/>
    <w:rsid w:val="00D20266"/>
    <w:rsid w:val="00D32D87"/>
    <w:rsid w:val="00D86818"/>
    <w:rsid w:val="00DB3862"/>
    <w:rsid w:val="00E33E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2D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2D87"/>
    <w:rPr>
      <w:sz w:val="18"/>
      <w:szCs w:val="18"/>
    </w:rPr>
  </w:style>
  <w:style w:type="paragraph" w:styleId="a4">
    <w:name w:val="footer"/>
    <w:basedOn w:val="a"/>
    <w:link w:val="Char0"/>
    <w:uiPriority w:val="99"/>
    <w:semiHidden/>
    <w:unhideWhenUsed/>
    <w:rsid w:val="00D32D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2D87"/>
    <w:rPr>
      <w:sz w:val="18"/>
      <w:szCs w:val="18"/>
    </w:rPr>
  </w:style>
  <w:style w:type="paragraph" w:styleId="a5">
    <w:name w:val="Normal (Web)"/>
    <w:basedOn w:val="a"/>
    <w:uiPriority w:val="99"/>
    <w:unhideWhenUsed/>
    <w:rsid w:val="00CB4DB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20266"/>
  </w:style>
  <w:style w:type="character" w:styleId="a6">
    <w:name w:val="Strong"/>
    <w:basedOn w:val="a0"/>
    <w:uiPriority w:val="22"/>
    <w:qFormat/>
    <w:rsid w:val="00D02266"/>
    <w:rPr>
      <w:b/>
      <w:bCs/>
    </w:rPr>
  </w:style>
</w:styles>
</file>

<file path=word/webSettings.xml><?xml version="1.0" encoding="utf-8"?>
<w:webSettings xmlns:r="http://schemas.openxmlformats.org/officeDocument/2006/relationships" xmlns:w="http://schemas.openxmlformats.org/wordprocessingml/2006/main">
  <w:divs>
    <w:div w:id="212892730">
      <w:bodyDiv w:val="1"/>
      <w:marLeft w:val="0"/>
      <w:marRight w:val="0"/>
      <w:marTop w:val="0"/>
      <w:marBottom w:val="0"/>
      <w:divBdr>
        <w:top w:val="none" w:sz="0" w:space="0" w:color="auto"/>
        <w:left w:val="none" w:sz="0" w:space="0" w:color="auto"/>
        <w:bottom w:val="none" w:sz="0" w:space="0" w:color="auto"/>
        <w:right w:val="none" w:sz="0" w:space="0" w:color="auto"/>
      </w:divBdr>
    </w:div>
    <w:div w:id="246959515">
      <w:bodyDiv w:val="1"/>
      <w:marLeft w:val="0"/>
      <w:marRight w:val="0"/>
      <w:marTop w:val="0"/>
      <w:marBottom w:val="0"/>
      <w:divBdr>
        <w:top w:val="none" w:sz="0" w:space="0" w:color="auto"/>
        <w:left w:val="none" w:sz="0" w:space="0" w:color="auto"/>
        <w:bottom w:val="none" w:sz="0" w:space="0" w:color="auto"/>
        <w:right w:val="none" w:sz="0" w:space="0" w:color="auto"/>
      </w:divBdr>
      <w:divsChild>
        <w:div w:id="2000378403">
          <w:marLeft w:val="0"/>
          <w:marRight w:val="0"/>
          <w:marTop w:val="0"/>
          <w:marBottom w:val="0"/>
          <w:divBdr>
            <w:top w:val="single" w:sz="2" w:space="6" w:color="FD9801"/>
            <w:left w:val="single" w:sz="2" w:space="6" w:color="FD9801"/>
            <w:bottom w:val="single" w:sz="2" w:space="6" w:color="FD9801"/>
            <w:right w:val="single" w:sz="2" w:space="6" w:color="FD9801"/>
          </w:divBdr>
          <w:divsChild>
            <w:div w:id="361634013">
              <w:marLeft w:val="0"/>
              <w:marRight w:val="0"/>
              <w:marTop w:val="0"/>
              <w:marBottom w:val="0"/>
              <w:divBdr>
                <w:top w:val="single" w:sz="6" w:space="4" w:color="1198E1"/>
                <w:left w:val="none" w:sz="0" w:space="0" w:color="auto"/>
                <w:bottom w:val="none" w:sz="0" w:space="0" w:color="auto"/>
                <w:right w:val="none" w:sz="0" w:space="0" w:color="auto"/>
              </w:divBdr>
            </w:div>
          </w:divsChild>
        </w:div>
      </w:divsChild>
    </w:div>
    <w:div w:id="354774643">
      <w:bodyDiv w:val="1"/>
      <w:marLeft w:val="0"/>
      <w:marRight w:val="0"/>
      <w:marTop w:val="0"/>
      <w:marBottom w:val="0"/>
      <w:divBdr>
        <w:top w:val="none" w:sz="0" w:space="0" w:color="auto"/>
        <w:left w:val="none" w:sz="0" w:space="0" w:color="auto"/>
        <w:bottom w:val="none" w:sz="0" w:space="0" w:color="auto"/>
        <w:right w:val="none" w:sz="0" w:space="0" w:color="auto"/>
      </w:divBdr>
      <w:divsChild>
        <w:div w:id="713701359">
          <w:marLeft w:val="0"/>
          <w:marRight w:val="0"/>
          <w:marTop w:val="0"/>
          <w:marBottom w:val="0"/>
          <w:divBdr>
            <w:top w:val="none" w:sz="0" w:space="0" w:color="auto"/>
            <w:left w:val="none" w:sz="0" w:space="0" w:color="auto"/>
            <w:bottom w:val="none" w:sz="0" w:space="0" w:color="auto"/>
            <w:right w:val="none" w:sz="0" w:space="0" w:color="auto"/>
          </w:divBdr>
        </w:div>
        <w:div w:id="2003772202">
          <w:marLeft w:val="0"/>
          <w:marRight w:val="0"/>
          <w:marTop w:val="0"/>
          <w:marBottom w:val="0"/>
          <w:divBdr>
            <w:top w:val="none" w:sz="0" w:space="0" w:color="auto"/>
            <w:left w:val="none" w:sz="0" w:space="0" w:color="auto"/>
            <w:bottom w:val="none" w:sz="0" w:space="0" w:color="auto"/>
            <w:right w:val="none" w:sz="0" w:space="0" w:color="auto"/>
          </w:divBdr>
        </w:div>
        <w:div w:id="535853408">
          <w:marLeft w:val="0"/>
          <w:marRight w:val="0"/>
          <w:marTop w:val="0"/>
          <w:marBottom w:val="0"/>
          <w:divBdr>
            <w:top w:val="none" w:sz="0" w:space="0" w:color="auto"/>
            <w:left w:val="none" w:sz="0" w:space="0" w:color="auto"/>
            <w:bottom w:val="none" w:sz="0" w:space="0" w:color="auto"/>
            <w:right w:val="none" w:sz="0" w:space="0" w:color="auto"/>
          </w:divBdr>
        </w:div>
      </w:divsChild>
    </w:div>
    <w:div w:id="357588051">
      <w:bodyDiv w:val="1"/>
      <w:marLeft w:val="0"/>
      <w:marRight w:val="0"/>
      <w:marTop w:val="0"/>
      <w:marBottom w:val="0"/>
      <w:divBdr>
        <w:top w:val="none" w:sz="0" w:space="0" w:color="auto"/>
        <w:left w:val="none" w:sz="0" w:space="0" w:color="auto"/>
        <w:bottom w:val="none" w:sz="0" w:space="0" w:color="auto"/>
        <w:right w:val="none" w:sz="0" w:space="0" w:color="auto"/>
      </w:divBdr>
    </w:div>
    <w:div w:id="426274338">
      <w:bodyDiv w:val="1"/>
      <w:marLeft w:val="0"/>
      <w:marRight w:val="0"/>
      <w:marTop w:val="0"/>
      <w:marBottom w:val="0"/>
      <w:divBdr>
        <w:top w:val="none" w:sz="0" w:space="0" w:color="auto"/>
        <w:left w:val="none" w:sz="0" w:space="0" w:color="auto"/>
        <w:bottom w:val="none" w:sz="0" w:space="0" w:color="auto"/>
        <w:right w:val="none" w:sz="0" w:space="0" w:color="auto"/>
      </w:divBdr>
    </w:div>
    <w:div w:id="472678152">
      <w:bodyDiv w:val="1"/>
      <w:marLeft w:val="0"/>
      <w:marRight w:val="0"/>
      <w:marTop w:val="0"/>
      <w:marBottom w:val="0"/>
      <w:divBdr>
        <w:top w:val="none" w:sz="0" w:space="0" w:color="auto"/>
        <w:left w:val="none" w:sz="0" w:space="0" w:color="auto"/>
        <w:bottom w:val="none" w:sz="0" w:space="0" w:color="auto"/>
        <w:right w:val="none" w:sz="0" w:space="0" w:color="auto"/>
      </w:divBdr>
    </w:div>
    <w:div w:id="491603904">
      <w:bodyDiv w:val="1"/>
      <w:marLeft w:val="0"/>
      <w:marRight w:val="0"/>
      <w:marTop w:val="0"/>
      <w:marBottom w:val="0"/>
      <w:divBdr>
        <w:top w:val="none" w:sz="0" w:space="0" w:color="auto"/>
        <w:left w:val="none" w:sz="0" w:space="0" w:color="auto"/>
        <w:bottom w:val="none" w:sz="0" w:space="0" w:color="auto"/>
        <w:right w:val="none" w:sz="0" w:space="0" w:color="auto"/>
      </w:divBdr>
    </w:div>
    <w:div w:id="1090392317">
      <w:bodyDiv w:val="1"/>
      <w:marLeft w:val="0"/>
      <w:marRight w:val="0"/>
      <w:marTop w:val="0"/>
      <w:marBottom w:val="0"/>
      <w:divBdr>
        <w:top w:val="none" w:sz="0" w:space="0" w:color="auto"/>
        <w:left w:val="none" w:sz="0" w:space="0" w:color="auto"/>
        <w:bottom w:val="none" w:sz="0" w:space="0" w:color="auto"/>
        <w:right w:val="none" w:sz="0" w:space="0" w:color="auto"/>
      </w:divBdr>
      <w:divsChild>
        <w:div w:id="912589552">
          <w:marLeft w:val="0"/>
          <w:marRight w:val="0"/>
          <w:marTop w:val="345"/>
          <w:marBottom w:val="0"/>
          <w:divBdr>
            <w:top w:val="none" w:sz="0" w:space="0" w:color="auto"/>
            <w:left w:val="none" w:sz="0" w:space="0" w:color="auto"/>
            <w:bottom w:val="none" w:sz="0" w:space="0" w:color="auto"/>
            <w:right w:val="none" w:sz="0" w:space="0" w:color="auto"/>
          </w:divBdr>
        </w:div>
      </w:divsChild>
    </w:div>
    <w:div w:id="1275210881">
      <w:bodyDiv w:val="1"/>
      <w:marLeft w:val="0"/>
      <w:marRight w:val="0"/>
      <w:marTop w:val="0"/>
      <w:marBottom w:val="0"/>
      <w:divBdr>
        <w:top w:val="none" w:sz="0" w:space="0" w:color="auto"/>
        <w:left w:val="none" w:sz="0" w:space="0" w:color="auto"/>
        <w:bottom w:val="none" w:sz="0" w:space="0" w:color="auto"/>
        <w:right w:val="none" w:sz="0" w:space="0" w:color="auto"/>
      </w:divBdr>
    </w:div>
    <w:div w:id="1434396167">
      <w:bodyDiv w:val="1"/>
      <w:marLeft w:val="0"/>
      <w:marRight w:val="0"/>
      <w:marTop w:val="0"/>
      <w:marBottom w:val="0"/>
      <w:divBdr>
        <w:top w:val="none" w:sz="0" w:space="0" w:color="auto"/>
        <w:left w:val="none" w:sz="0" w:space="0" w:color="auto"/>
        <w:bottom w:val="none" w:sz="0" w:space="0" w:color="auto"/>
        <w:right w:val="none" w:sz="0" w:space="0" w:color="auto"/>
      </w:divBdr>
    </w:div>
    <w:div w:id="1598249175">
      <w:bodyDiv w:val="1"/>
      <w:marLeft w:val="0"/>
      <w:marRight w:val="0"/>
      <w:marTop w:val="0"/>
      <w:marBottom w:val="0"/>
      <w:divBdr>
        <w:top w:val="none" w:sz="0" w:space="0" w:color="auto"/>
        <w:left w:val="none" w:sz="0" w:space="0" w:color="auto"/>
        <w:bottom w:val="none" w:sz="0" w:space="0" w:color="auto"/>
        <w:right w:val="none" w:sz="0" w:space="0" w:color="auto"/>
      </w:divBdr>
      <w:divsChild>
        <w:div w:id="420567456">
          <w:marLeft w:val="0"/>
          <w:marRight w:val="0"/>
          <w:marTop w:val="0"/>
          <w:marBottom w:val="0"/>
          <w:divBdr>
            <w:top w:val="none" w:sz="0" w:space="0" w:color="auto"/>
            <w:left w:val="none" w:sz="0" w:space="0" w:color="auto"/>
            <w:bottom w:val="none" w:sz="0" w:space="0" w:color="auto"/>
            <w:right w:val="none" w:sz="0" w:space="0" w:color="auto"/>
          </w:divBdr>
          <w:divsChild>
            <w:div w:id="374893886">
              <w:marLeft w:val="0"/>
              <w:marRight w:val="0"/>
              <w:marTop w:val="0"/>
              <w:marBottom w:val="0"/>
              <w:divBdr>
                <w:top w:val="none" w:sz="0" w:space="0" w:color="auto"/>
                <w:left w:val="none" w:sz="0" w:space="0" w:color="auto"/>
                <w:bottom w:val="none" w:sz="0" w:space="0" w:color="auto"/>
                <w:right w:val="none" w:sz="0" w:space="0" w:color="auto"/>
              </w:divBdr>
              <w:divsChild>
                <w:div w:id="1277906293">
                  <w:marLeft w:val="0"/>
                  <w:marRight w:val="0"/>
                  <w:marTop w:val="0"/>
                  <w:marBottom w:val="0"/>
                  <w:divBdr>
                    <w:top w:val="none" w:sz="0" w:space="0" w:color="auto"/>
                    <w:left w:val="none" w:sz="0" w:space="0" w:color="auto"/>
                    <w:bottom w:val="none" w:sz="0" w:space="0" w:color="auto"/>
                    <w:right w:val="none" w:sz="0" w:space="0" w:color="auto"/>
                  </w:divBdr>
                  <w:divsChild>
                    <w:div w:id="1077483600">
                      <w:marLeft w:val="0"/>
                      <w:marRight w:val="0"/>
                      <w:marTop w:val="0"/>
                      <w:marBottom w:val="0"/>
                      <w:divBdr>
                        <w:top w:val="none" w:sz="0" w:space="0" w:color="auto"/>
                        <w:left w:val="none" w:sz="0" w:space="0" w:color="auto"/>
                        <w:bottom w:val="none" w:sz="0" w:space="0" w:color="auto"/>
                        <w:right w:val="none" w:sz="0" w:space="0" w:color="auto"/>
                      </w:divBdr>
                      <w:divsChild>
                        <w:div w:id="456684387">
                          <w:marLeft w:val="0"/>
                          <w:marRight w:val="0"/>
                          <w:marTop w:val="0"/>
                          <w:marBottom w:val="0"/>
                          <w:divBdr>
                            <w:top w:val="none" w:sz="0" w:space="0" w:color="auto"/>
                            <w:left w:val="none" w:sz="0" w:space="0" w:color="auto"/>
                            <w:bottom w:val="none" w:sz="0" w:space="0" w:color="auto"/>
                            <w:right w:val="none" w:sz="0" w:space="0" w:color="auto"/>
                          </w:divBdr>
                          <w:divsChild>
                            <w:div w:id="1050034668">
                              <w:marLeft w:val="0"/>
                              <w:marRight w:val="0"/>
                              <w:marTop w:val="0"/>
                              <w:marBottom w:val="0"/>
                              <w:divBdr>
                                <w:top w:val="none" w:sz="0" w:space="0" w:color="auto"/>
                                <w:left w:val="none" w:sz="0" w:space="0" w:color="auto"/>
                                <w:bottom w:val="none" w:sz="0" w:space="0" w:color="auto"/>
                                <w:right w:val="none" w:sz="0" w:space="0" w:color="auto"/>
                              </w:divBdr>
                              <w:divsChild>
                                <w:div w:id="263879553">
                                  <w:marLeft w:val="0"/>
                                  <w:marRight w:val="0"/>
                                  <w:marTop w:val="0"/>
                                  <w:marBottom w:val="0"/>
                                  <w:divBdr>
                                    <w:top w:val="none" w:sz="0" w:space="0" w:color="auto"/>
                                    <w:left w:val="none" w:sz="0" w:space="0" w:color="auto"/>
                                    <w:bottom w:val="none" w:sz="0" w:space="0" w:color="auto"/>
                                    <w:right w:val="none" w:sz="0" w:space="0" w:color="auto"/>
                                  </w:divBdr>
                                  <w:divsChild>
                                    <w:div w:id="1151407246">
                                      <w:marLeft w:val="0"/>
                                      <w:marRight w:val="0"/>
                                      <w:marTop w:val="0"/>
                                      <w:marBottom w:val="0"/>
                                      <w:divBdr>
                                        <w:top w:val="none" w:sz="0" w:space="0" w:color="auto"/>
                                        <w:left w:val="none" w:sz="0" w:space="0" w:color="auto"/>
                                        <w:bottom w:val="none" w:sz="0" w:space="0" w:color="auto"/>
                                        <w:right w:val="none" w:sz="0" w:space="0" w:color="auto"/>
                                      </w:divBdr>
                                      <w:divsChild>
                                        <w:div w:id="1884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9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272</Words>
  <Characters>1555</Characters>
  <Application>Microsoft Office Word</Application>
  <DocSecurity>0</DocSecurity>
  <Lines>12</Lines>
  <Paragraphs>3</Paragraphs>
  <ScaleCrop>false</ScaleCrop>
  <Company>Sky123.Org</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2015-11-09T08:52:00Z</dcterms:created>
  <dcterms:modified xsi:type="dcterms:W3CDTF">2015-11-09T08:52:00Z</dcterms:modified>
</cp:coreProperties>
</file>