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2554"/>
        <w:gridCol w:w="2948"/>
        <w:gridCol w:w="1243"/>
        <w:gridCol w:w="1128"/>
        <w:gridCol w:w="1268"/>
      </w:tblGrid>
      <w:tr w:rsidR="002D40AD" w:rsidRPr="002D40AD" w:rsidTr="002D40AD">
        <w:trPr>
          <w:trHeight w:val="624"/>
        </w:trPr>
        <w:tc>
          <w:tcPr>
            <w:tcW w:w="9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b/>
                <w:bCs/>
                <w:sz w:val="36"/>
                <w:szCs w:val="36"/>
              </w:rPr>
              <w:t>商洛学院2016年人才招聘计划</w:t>
            </w:r>
          </w:p>
        </w:tc>
      </w:tr>
      <w:tr w:rsidR="002D40AD" w:rsidRPr="002D40AD" w:rsidTr="002D40AD">
        <w:trPr>
          <w:trHeight w:val="66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部门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学科方向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学历、学位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数量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其他要求</w:t>
            </w: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人文社会科学学院（3人）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思想政治教育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历史学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马克思主义哲学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语言文化传播学院（2人）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汉语言文学类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数学与计算机应用学院（2人）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统计学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计算机应用技术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电子信息与电气工程学院（6人）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电路与系统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信号与信息处理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电子科学与技术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电力系统及其自动化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化学工程与现代材料学院（3人）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矿业工程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固废综合利用方向</w:t>
            </w: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材料加工工程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环境工程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“三废”处理与资源化方向</w:t>
            </w: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生物医药与食品工程学院（4人）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食品科学与工程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制药工程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机械工程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食品机械设备方向</w:t>
            </w: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护理学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城乡规划与建筑工程学院（8人）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地理学（地图学与地理信息系统）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城乡规划学（城乡规划与设计）或建筑学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工程管理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土木工程（结构工程）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力学</w:t>
            </w: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经济与管理学院（6人）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计算机信息管理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文化产业管理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管理科学与工程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工商管理</w:t>
            </w: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会计学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财务管理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艺术学院（4人）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油画（人物）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舞蹈编导或舞蹈表演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学前教育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钢琴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思政政治理论课教学研究部（2人）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马克思主义基本原理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思想政治教育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780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体育教学研究部（1人）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体育教育训练学或民族传统训练学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博士研究生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定向运动或武术</w:t>
            </w:r>
          </w:p>
        </w:tc>
      </w:tr>
      <w:tr w:rsidR="002D40AD" w:rsidRPr="002D40AD" w:rsidTr="002D40AD">
        <w:trPr>
          <w:trHeight w:val="501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学生处（5人）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思想政治教育及相关方向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硕士研究生及其以上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中共党员（3男2女），辅导员</w:t>
            </w:r>
          </w:p>
        </w:tc>
      </w:tr>
      <w:tr w:rsidR="002D40AD" w:rsidRPr="002D40AD" w:rsidTr="002D40AD">
        <w:trPr>
          <w:trHeight w:val="444"/>
        </w:trPr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AD" w:rsidRPr="002D40AD" w:rsidTr="002D40AD">
        <w:trPr>
          <w:trHeight w:val="396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0AD" w:rsidRPr="002D40AD" w:rsidRDefault="002D40AD" w:rsidP="002D40AD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2D40AD">
              <w:rPr>
                <w:rFonts w:ascii="宋体" w:eastAsia="宋体" w:hAnsi="宋体" w:cs="宋体"/>
                <w:sz w:val="24"/>
                <w:szCs w:val="24"/>
              </w:rPr>
              <w:t>      发布日期：  2015.10.12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6999"/>
    <w:rsid w:val="002D40AD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560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15867655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2015-10-27T07:35:00Z</dcterms:modified>
</cp:coreProperties>
</file>