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EA" w:rsidRDefault="00745DEA" w:rsidP="00745DEA">
      <w:pPr>
        <w:rPr>
          <w:rFonts w:ascii="仿宋_GB2312" w:eastAsia="仿宋_GB2312"/>
          <w:sz w:val="32"/>
          <w:szCs w:val="32"/>
        </w:rPr>
      </w:pPr>
      <w:r w:rsidRPr="000A68FE">
        <w:rPr>
          <w:rFonts w:ascii="仿宋_GB2312" w:eastAsia="仿宋_GB2312" w:hint="eastAsia"/>
          <w:sz w:val="32"/>
          <w:szCs w:val="32"/>
        </w:rPr>
        <w:t>附件1</w:t>
      </w:r>
    </w:p>
    <w:p w:rsidR="00745DEA" w:rsidRPr="000A68FE" w:rsidRDefault="00745DEA" w:rsidP="00745DEA">
      <w:pPr>
        <w:spacing w:line="240" w:lineRule="exact"/>
        <w:rPr>
          <w:rFonts w:ascii="仿宋_GB2312" w:eastAsia="仿宋_GB2312"/>
          <w:sz w:val="32"/>
          <w:szCs w:val="32"/>
        </w:rPr>
      </w:pPr>
    </w:p>
    <w:p w:rsidR="00745DEA" w:rsidRDefault="00745DEA" w:rsidP="00745DEA">
      <w:pPr>
        <w:jc w:val="center"/>
        <w:rPr>
          <w:rFonts w:ascii="黑体" w:eastAsia="黑体" w:hAnsi="宋体"/>
          <w:sz w:val="44"/>
          <w:szCs w:val="44"/>
        </w:rPr>
      </w:pPr>
      <w:r w:rsidRPr="000A68FE">
        <w:rPr>
          <w:rFonts w:ascii="黑体" w:eastAsia="黑体" w:hAnsi="宋体" w:hint="eastAsia"/>
          <w:sz w:val="44"/>
          <w:szCs w:val="44"/>
        </w:rPr>
        <w:t>江苏省泰兴市聘任制公务员招聘简章</w:t>
      </w:r>
    </w:p>
    <w:p w:rsidR="00745DEA" w:rsidRPr="000A68FE" w:rsidRDefault="00745DEA" w:rsidP="00745DEA">
      <w:pPr>
        <w:spacing w:line="520" w:lineRule="exact"/>
        <w:rPr>
          <w:rFonts w:ascii="黑体" w:eastAsia="黑体" w:hAnsi="宋体"/>
          <w:sz w:val="44"/>
          <w:szCs w:val="44"/>
        </w:rPr>
      </w:pPr>
    </w:p>
    <w:tbl>
      <w:tblPr>
        <w:tblW w:w="987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40"/>
        <w:gridCol w:w="1080"/>
        <w:gridCol w:w="720"/>
        <w:gridCol w:w="3240"/>
        <w:gridCol w:w="4290"/>
      </w:tblGrid>
      <w:tr w:rsidR="00745DEA" w:rsidRPr="000A68FE" w:rsidTr="00A46943">
        <w:trPr>
          <w:trHeight w:val="424"/>
          <w:tblHeader/>
        </w:trPr>
        <w:tc>
          <w:tcPr>
            <w:tcW w:w="540" w:type="dxa"/>
            <w:vMerge w:val="restart"/>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序号</w:t>
            </w:r>
          </w:p>
        </w:tc>
        <w:tc>
          <w:tcPr>
            <w:tcW w:w="1080" w:type="dxa"/>
            <w:vMerge w:val="restart"/>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聘任职位</w:t>
            </w:r>
          </w:p>
        </w:tc>
        <w:tc>
          <w:tcPr>
            <w:tcW w:w="720" w:type="dxa"/>
            <w:vMerge w:val="restart"/>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招聘人数</w:t>
            </w:r>
          </w:p>
        </w:tc>
        <w:tc>
          <w:tcPr>
            <w:tcW w:w="3240" w:type="dxa"/>
            <w:vMerge w:val="restart"/>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职位说明</w:t>
            </w:r>
          </w:p>
        </w:tc>
        <w:tc>
          <w:tcPr>
            <w:tcW w:w="4290" w:type="dxa"/>
            <w:vMerge w:val="restart"/>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职位资格条件</w:t>
            </w:r>
          </w:p>
        </w:tc>
      </w:tr>
      <w:tr w:rsidR="00745DEA" w:rsidRPr="000A68FE" w:rsidTr="00A46943">
        <w:trPr>
          <w:trHeight w:val="415"/>
          <w:tblHeader/>
        </w:trPr>
        <w:tc>
          <w:tcPr>
            <w:tcW w:w="540" w:type="dxa"/>
            <w:vMerge/>
            <w:vAlign w:val="center"/>
          </w:tcPr>
          <w:p w:rsidR="00745DEA" w:rsidRPr="000A68FE" w:rsidRDefault="00745DEA" w:rsidP="00A46943">
            <w:pPr>
              <w:suppressAutoHyphens/>
              <w:spacing w:line="260" w:lineRule="exact"/>
              <w:rPr>
                <w:rFonts w:ascii="宋体" w:hAnsi="宋体"/>
                <w:color w:val="000000"/>
                <w:szCs w:val="21"/>
              </w:rPr>
            </w:pPr>
          </w:p>
        </w:tc>
        <w:tc>
          <w:tcPr>
            <w:tcW w:w="1080" w:type="dxa"/>
            <w:vMerge/>
            <w:vAlign w:val="center"/>
          </w:tcPr>
          <w:p w:rsidR="00745DEA" w:rsidRPr="000A68FE" w:rsidRDefault="00745DEA" w:rsidP="00A46943">
            <w:pPr>
              <w:suppressAutoHyphens/>
              <w:spacing w:line="260" w:lineRule="exact"/>
              <w:rPr>
                <w:rFonts w:ascii="宋体" w:hAnsi="宋体"/>
                <w:color w:val="000000"/>
                <w:szCs w:val="21"/>
              </w:rPr>
            </w:pPr>
          </w:p>
        </w:tc>
        <w:tc>
          <w:tcPr>
            <w:tcW w:w="720" w:type="dxa"/>
            <w:vMerge/>
            <w:vAlign w:val="center"/>
          </w:tcPr>
          <w:p w:rsidR="00745DEA" w:rsidRPr="000A68FE" w:rsidRDefault="00745DEA" w:rsidP="00A46943">
            <w:pPr>
              <w:suppressAutoHyphens/>
              <w:spacing w:line="260" w:lineRule="exact"/>
              <w:rPr>
                <w:rFonts w:ascii="宋体" w:hAnsi="宋体"/>
                <w:color w:val="000000"/>
                <w:szCs w:val="21"/>
              </w:rPr>
            </w:pPr>
          </w:p>
        </w:tc>
        <w:tc>
          <w:tcPr>
            <w:tcW w:w="3240" w:type="dxa"/>
            <w:vMerge/>
            <w:vAlign w:val="center"/>
          </w:tcPr>
          <w:p w:rsidR="00745DEA" w:rsidRPr="000A68FE" w:rsidRDefault="00745DEA" w:rsidP="00A46943">
            <w:pPr>
              <w:suppressAutoHyphens/>
              <w:spacing w:line="260" w:lineRule="exact"/>
              <w:rPr>
                <w:rFonts w:ascii="宋体" w:hAnsi="宋体"/>
                <w:color w:val="000000"/>
                <w:szCs w:val="21"/>
              </w:rPr>
            </w:pPr>
          </w:p>
        </w:tc>
        <w:tc>
          <w:tcPr>
            <w:tcW w:w="4290" w:type="dxa"/>
            <w:vMerge/>
            <w:vAlign w:val="center"/>
          </w:tcPr>
          <w:p w:rsidR="00745DEA" w:rsidRPr="000A68FE" w:rsidRDefault="00745DEA" w:rsidP="00A46943">
            <w:pPr>
              <w:suppressAutoHyphens/>
              <w:spacing w:line="260" w:lineRule="exact"/>
              <w:rPr>
                <w:rFonts w:ascii="宋体" w:hAnsi="宋体"/>
                <w:color w:val="000000"/>
                <w:szCs w:val="21"/>
              </w:rPr>
            </w:pPr>
          </w:p>
        </w:tc>
      </w:tr>
      <w:tr w:rsidR="00745DEA" w:rsidRPr="000A68FE" w:rsidTr="00A46943">
        <w:trPr>
          <w:trHeight w:val="4820"/>
        </w:trPr>
        <w:tc>
          <w:tcPr>
            <w:tcW w:w="54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1</w:t>
            </w:r>
          </w:p>
        </w:tc>
        <w:tc>
          <w:tcPr>
            <w:tcW w:w="108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泰兴市规划局规划审查审核主管</w:t>
            </w:r>
          </w:p>
          <w:p w:rsidR="00745DEA" w:rsidRPr="000A68FE" w:rsidRDefault="00745DEA" w:rsidP="00A46943">
            <w:pPr>
              <w:suppressAutoHyphens/>
              <w:spacing w:line="260" w:lineRule="exact"/>
              <w:jc w:val="center"/>
              <w:rPr>
                <w:rFonts w:ascii="宋体" w:hAnsi="宋体"/>
                <w:color w:val="000000"/>
                <w:szCs w:val="21"/>
              </w:rPr>
            </w:pPr>
          </w:p>
        </w:tc>
        <w:tc>
          <w:tcPr>
            <w:tcW w:w="72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1</w:t>
            </w:r>
          </w:p>
        </w:tc>
        <w:tc>
          <w:tcPr>
            <w:tcW w:w="3240" w:type="dxa"/>
            <w:vAlign w:val="center"/>
          </w:tcPr>
          <w:p w:rsidR="00745DEA" w:rsidRPr="000A68FE" w:rsidRDefault="00745DEA" w:rsidP="00A46943">
            <w:pPr>
              <w:rPr>
                <w:rFonts w:ascii="宋体" w:hAnsi="宋体"/>
                <w:szCs w:val="21"/>
              </w:rPr>
            </w:pPr>
            <w:r w:rsidRPr="000A68FE">
              <w:rPr>
                <w:rFonts w:ascii="宋体" w:hAnsi="宋体" w:cs="宋体" w:hint="eastAsia"/>
                <w:szCs w:val="21"/>
              </w:rPr>
              <w:t>组织城市总规、控规和相关专项规划编制（调整）、评审和报批等；城市重点区域、地块城市设计；修建性详细规划及相关规划审查、审核；建设工程设计方案审查、审核；土地出让规划条件拟制和确定；负责分析、研究城乡规划管理中出现的新情况、新问题，提出思路、原则和对策等预见性的参考意见，并撰写相关分析报告，每年至少完成</w:t>
            </w:r>
            <w:r w:rsidRPr="000A68FE">
              <w:rPr>
                <w:rFonts w:ascii="宋体" w:hAnsi="宋体"/>
                <w:szCs w:val="21"/>
              </w:rPr>
              <w:t>2</w:t>
            </w:r>
            <w:r w:rsidRPr="000A68FE">
              <w:rPr>
                <w:rFonts w:ascii="宋体" w:hAnsi="宋体" w:cs="宋体" w:hint="eastAsia"/>
                <w:szCs w:val="21"/>
              </w:rPr>
              <w:t>项事关城市发展的调研课题；根据领导要求，承办相应工作。</w:t>
            </w:r>
          </w:p>
        </w:tc>
        <w:tc>
          <w:tcPr>
            <w:tcW w:w="4290" w:type="dxa"/>
            <w:vAlign w:val="center"/>
          </w:tcPr>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1.年龄45周岁及以下；</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2.全日制普通高校工科类城市规划与设计、建筑设计及其理论专业硕士研究生及以上学历，取得相应学位；</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3.具备国家注册城市规划师资格或高级职称；</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4</w:t>
            </w:r>
            <w:r>
              <w:rPr>
                <w:rFonts w:ascii="宋体" w:hAnsi="宋体" w:hint="eastAsia"/>
                <w:color w:val="000000"/>
                <w:szCs w:val="21"/>
              </w:rPr>
              <w:t>.</w:t>
            </w:r>
            <w:r w:rsidRPr="000A68FE">
              <w:rPr>
                <w:rFonts w:ascii="宋体" w:hAnsi="宋体" w:hint="eastAsia"/>
                <w:color w:val="000000"/>
                <w:szCs w:val="21"/>
              </w:rPr>
              <w:t>具备国家注册城市规划师资格，且具有城市规划专业或建筑学专业高级职称的，学历可放宽到全日制普通高校本科。</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5.具有5年以上专业工作背景，有较强的规划理论功底和实践经验；能独立进行修建性详细规划及相关规划、建设工程设计方案审查审核和土地出让规划条件拟制、确定；能单独组织相关专项规划编制、评审和报批等；</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6.具有较强的组织协调能力和团结协作精神。</w:t>
            </w:r>
          </w:p>
        </w:tc>
      </w:tr>
      <w:tr w:rsidR="00745DEA" w:rsidRPr="000A68FE" w:rsidTr="00A46943">
        <w:trPr>
          <w:trHeight w:val="4820"/>
        </w:trPr>
        <w:tc>
          <w:tcPr>
            <w:tcW w:w="54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2</w:t>
            </w:r>
          </w:p>
        </w:tc>
        <w:tc>
          <w:tcPr>
            <w:tcW w:w="1080" w:type="dxa"/>
            <w:vAlign w:val="center"/>
          </w:tcPr>
          <w:p w:rsidR="00745DEA" w:rsidRPr="000A68FE" w:rsidRDefault="00745DEA" w:rsidP="00A46943">
            <w:pPr>
              <w:suppressAutoHyphens/>
              <w:spacing w:line="260" w:lineRule="exact"/>
              <w:jc w:val="center"/>
              <w:rPr>
                <w:rFonts w:ascii="宋体" w:hAnsi="宋体"/>
                <w:color w:val="000000"/>
                <w:kern w:val="0"/>
                <w:szCs w:val="21"/>
              </w:rPr>
            </w:pPr>
            <w:r w:rsidRPr="000A68FE">
              <w:rPr>
                <w:rFonts w:ascii="宋体" w:hAnsi="宋体" w:hint="eastAsia"/>
                <w:color w:val="000000"/>
                <w:szCs w:val="21"/>
              </w:rPr>
              <w:t>泰兴市港口管理局港口开发建设主管</w:t>
            </w:r>
          </w:p>
          <w:p w:rsidR="00745DEA" w:rsidRPr="000A68FE" w:rsidRDefault="00745DEA" w:rsidP="00A46943">
            <w:pPr>
              <w:suppressAutoHyphens/>
              <w:spacing w:line="260" w:lineRule="exact"/>
              <w:jc w:val="center"/>
              <w:rPr>
                <w:rFonts w:ascii="宋体" w:hAnsi="宋体"/>
                <w:color w:val="000000"/>
                <w:kern w:val="0"/>
                <w:szCs w:val="21"/>
              </w:rPr>
            </w:pPr>
          </w:p>
        </w:tc>
        <w:tc>
          <w:tcPr>
            <w:tcW w:w="72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1</w:t>
            </w:r>
          </w:p>
        </w:tc>
        <w:tc>
          <w:tcPr>
            <w:tcW w:w="3240" w:type="dxa"/>
            <w:vAlign w:val="center"/>
          </w:tcPr>
          <w:p w:rsidR="00745DEA" w:rsidRPr="000A68FE" w:rsidRDefault="00745DEA" w:rsidP="00A46943">
            <w:pPr>
              <w:autoSpaceDN w:val="0"/>
              <w:textAlignment w:val="center"/>
              <w:rPr>
                <w:rFonts w:ascii="宋体" w:hAnsi="宋体"/>
                <w:color w:val="000000"/>
                <w:szCs w:val="21"/>
              </w:rPr>
            </w:pPr>
            <w:r w:rsidRPr="000A68FE">
              <w:rPr>
                <w:rFonts w:ascii="宋体" w:hAnsi="宋体" w:cs="宋体" w:hint="eastAsia"/>
                <w:color w:val="000000"/>
                <w:szCs w:val="21"/>
              </w:rPr>
              <w:t>参与全市沿江一体化开发、天星洲开发及港口、口岸建设工程的管理工作，对区域经济发展、政策研究、相关规划编制等提出合理的对策和建议；对港口物流项目从立项、科研、设计、施工到竣工验收的相关技术文件进行初步审查及管理；对辖区内公用基础设施的设计、施工、监理承担单位进行组织协调和管理工作；根据领导要求，承办和落实</w:t>
            </w:r>
            <w:r w:rsidRPr="00BC35DF">
              <w:rPr>
                <w:rFonts w:ascii="宋体" w:hAnsi="宋体" w:cs="宋体" w:hint="eastAsia"/>
                <w:color w:val="000000"/>
                <w:szCs w:val="21"/>
              </w:rPr>
              <w:t>其他</w:t>
            </w:r>
            <w:r w:rsidRPr="000A68FE">
              <w:rPr>
                <w:rFonts w:ascii="宋体" w:hAnsi="宋体" w:cs="宋体" w:hint="eastAsia"/>
                <w:color w:val="000000"/>
                <w:szCs w:val="21"/>
              </w:rPr>
              <w:t>相关工作。</w:t>
            </w:r>
          </w:p>
        </w:tc>
        <w:tc>
          <w:tcPr>
            <w:tcW w:w="4290" w:type="dxa"/>
            <w:vAlign w:val="center"/>
          </w:tcPr>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1.年龄45周岁及以下；</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2.全日制普通高校港口、海岸及近海工程类专业或水工结构工程类专业硕士研究生及以上学历，取得相应学位；</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3.具有港口、海岸及近海工程类专业或水工结构工程类专业中级及以上职称；</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4.具有港航工程建设管理5年以上工作经历、港口（区）总体规划编制的项目负责人或万吨级码头设计的项目负责人等相关实践经验；</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5.具有较强的组织协调能力和工程类项目管理能力；</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6.具有招聘专业高级职称的，学历可以放宽到全日制普通高校本科。</w:t>
            </w:r>
          </w:p>
        </w:tc>
      </w:tr>
      <w:tr w:rsidR="00745DEA" w:rsidRPr="000A68FE" w:rsidTr="00A46943">
        <w:trPr>
          <w:trHeight w:val="4536"/>
        </w:trPr>
        <w:tc>
          <w:tcPr>
            <w:tcW w:w="54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lastRenderedPageBreak/>
              <w:t>3</w:t>
            </w:r>
          </w:p>
        </w:tc>
        <w:tc>
          <w:tcPr>
            <w:tcW w:w="108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泰兴市安全生产监督管理局</w:t>
            </w:r>
            <w:r w:rsidRPr="000A68FE">
              <w:rPr>
                <w:rFonts w:ascii="宋体" w:hAnsi="宋体" w:hint="eastAsia"/>
                <w:color w:val="000000"/>
                <w:kern w:val="0"/>
                <w:szCs w:val="21"/>
              </w:rPr>
              <w:t>化工安全生产监督管理主管</w:t>
            </w:r>
          </w:p>
        </w:tc>
        <w:tc>
          <w:tcPr>
            <w:tcW w:w="72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１</w:t>
            </w:r>
          </w:p>
        </w:tc>
        <w:tc>
          <w:tcPr>
            <w:tcW w:w="3240" w:type="dxa"/>
            <w:vAlign w:val="center"/>
          </w:tcPr>
          <w:p w:rsidR="00745DEA" w:rsidRPr="000A68FE" w:rsidRDefault="00745DEA" w:rsidP="00A46943">
            <w:pPr>
              <w:suppressAutoHyphens/>
              <w:spacing w:line="260" w:lineRule="exact"/>
              <w:rPr>
                <w:rFonts w:ascii="宋体" w:hAnsi="宋体"/>
                <w:color w:val="000000"/>
                <w:szCs w:val="21"/>
              </w:rPr>
            </w:pPr>
            <w:r w:rsidRPr="000A68FE">
              <w:rPr>
                <w:rFonts w:ascii="宋体" w:hAnsi="宋体" w:cs="宋体" w:hint="eastAsia"/>
                <w:color w:val="000000"/>
                <w:kern w:val="0"/>
                <w:szCs w:val="21"/>
              </w:rPr>
              <w:t>参与危险化学品建设项目安全条件审查、安全设施设计审查、安全设施竣工验收；对危险化学品建设项目的安全条件审查、设计、竣工验收的相关文件资料进行初步审查及管理；参与化工企业的安全检查及安全管理工作；根据领导要求，承办和落实</w:t>
            </w:r>
            <w:r w:rsidRPr="00BC35DF">
              <w:rPr>
                <w:rFonts w:ascii="宋体" w:hAnsi="宋体" w:cs="宋体" w:hint="eastAsia"/>
                <w:color w:val="000000"/>
                <w:kern w:val="0"/>
                <w:szCs w:val="21"/>
              </w:rPr>
              <w:t>其他</w:t>
            </w:r>
            <w:r w:rsidRPr="000A68FE">
              <w:rPr>
                <w:rFonts w:ascii="宋体" w:hAnsi="宋体" w:cs="宋体" w:hint="eastAsia"/>
                <w:color w:val="000000"/>
                <w:kern w:val="0"/>
                <w:szCs w:val="21"/>
              </w:rPr>
              <w:t>相关工作。</w:t>
            </w:r>
          </w:p>
        </w:tc>
        <w:tc>
          <w:tcPr>
            <w:tcW w:w="4290" w:type="dxa"/>
            <w:vAlign w:val="center"/>
          </w:tcPr>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1.年龄45周岁及以下；</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2.全日制普通高校化工工艺、化工设备等化工相关专业或安全工程专业硕士研究生及以上学历，取得相应学位；</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3.具有安全生产管理、化工安全专业执业资格；</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4.具有5年以上化工安全管理实践经验，能独立完成化工尤其是危险化学品项目安全条件审查等工作任务，具有较强的组织协调能力和化工类项目管理能力；</w:t>
            </w:r>
          </w:p>
          <w:p w:rsidR="00745DEA" w:rsidRPr="000A68FE" w:rsidRDefault="00745DEA" w:rsidP="00A46943">
            <w:pPr>
              <w:suppressAutoHyphens/>
              <w:spacing w:line="260" w:lineRule="exact"/>
              <w:rPr>
                <w:rFonts w:ascii="宋体" w:hAnsi="宋体"/>
                <w:color w:val="000000"/>
                <w:szCs w:val="21"/>
              </w:rPr>
            </w:pPr>
            <w:r w:rsidRPr="000A68FE">
              <w:rPr>
                <w:rFonts w:ascii="宋体" w:hAnsi="宋体" w:hint="eastAsia"/>
                <w:color w:val="000000"/>
                <w:szCs w:val="21"/>
              </w:rPr>
              <w:t>5.具有化工专业高级职称的，学历可放宽到全日制普通高校本科。</w:t>
            </w:r>
          </w:p>
        </w:tc>
      </w:tr>
      <w:tr w:rsidR="00745DEA" w:rsidRPr="000A68FE" w:rsidTr="00A46943">
        <w:trPr>
          <w:trHeight w:val="4536"/>
        </w:trPr>
        <w:tc>
          <w:tcPr>
            <w:tcW w:w="540" w:type="dxa"/>
            <w:vAlign w:val="center"/>
          </w:tcPr>
          <w:p w:rsidR="00745DEA" w:rsidRPr="000A68FE" w:rsidRDefault="00745DEA" w:rsidP="00A46943">
            <w:pPr>
              <w:suppressAutoHyphens/>
              <w:spacing w:line="260" w:lineRule="exact"/>
              <w:jc w:val="center"/>
              <w:rPr>
                <w:rFonts w:ascii="宋体" w:hAnsi="宋体"/>
                <w:color w:val="000000"/>
                <w:szCs w:val="21"/>
              </w:rPr>
            </w:pPr>
            <w:r w:rsidRPr="000A68FE">
              <w:rPr>
                <w:rFonts w:ascii="宋体" w:hAnsi="宋体" w:hint="eastAsia"/>
                <w:color w:val="000000"/>
                <w:szCs w:val="21"/>
              </w:rPr>
              <w:t>4</w:t>
            </w:r>
          </w:p>
        </w:tc>
        <w:tc>
          <w:tcPr>
            <w:tcW w:w="1080" w:type="dxa"/>
            <w:vAlign w:val="center"/>
          </w:tcPr>
          <w:p w:rsidR="00745DEA" w:rsidRPr="000A68FE" w:rsidRDefault="00745DEA" w:rsidP="00A46943">
            <w:pPr>
              <w:widowControl/>
              <w:spacing w:line="260" w:lineRule="exact"/>
              <w:jc w:val="center"/>
              <w:rPr>
                <w:rFonts w:ascii="宋体" w:hAnsi="宋体"/>
                <w:color w:val="000000"/>
                <w:szCs w:val="21"/>
              </w:rPr>
            </w:pPr>
            <w:r w:rsidRPr="000A68FE">
              <w:rPr>
                <w:rFonts w:ascii="宋体" w:hAnsi="宋体" w:hint="eastAsia"/>
                <w:color w:val="000000"/>
                <w:szCs w:val="21"/>
              </w:rPr>
              <w:t>泰兴市环境保护局环境管理技术主管</w:t>
            </w:r>
          </w:p>
        </w:tc>
        <w:tc>
          <w:tcPr>
            <w:tcW w:w="720" w:type="dxa"/>
            <w:vAlign w:val="center"/>
          </w:tcPr>
          <w:p w:rsidR="00745DEA" w:rsidRPr="000A68FE" w:rsidRDefault="00745DEA" w:rsidP="00A46943">
            <w:pPr>
              <w:widowControl/>
              <w:spacing w:line="260" w:lineRule="exact"/>
              <w:jc w:val="center"/>
              <w:rPr>
                <w:rFonts w:ascii="宋体" w:hAnsi="宋体"/>
                <w:szCs w:val="21"/>
              </w:rPr>
            </w:pPr>
            <w:r w:rsidRPr="000A68FE">
              <w:rPr>
                <w:rFonts w:ascii="宋体" w:hAnsi="宋体" w:hint="eastAsia"/>
                <w:szCs w:val="21"/>
              </w:rPr>
              <w:t>１</w:t>
            </w:r>
          </w:p>
        </w:tc>
        <w:tc>
          <w:tcPr>
            <w:tcW w:w="3240" w:type="dxa"/>
            <w:vAlign w:val="center"/>
          </w:tcPr>
          <w:p w:rsidR="00745DEA" w:rsidRPr="000A68FE" w:rsidRDefault="00745DEA" w:rsidP="00A46943">
            <w:pPr>
              <w:widowControl/>
              <w:spacing w:line="260" w:lineRule="exact"/>
              <w:rPr>
                <w:rFonts w:ascii="宋体" w:hAnsi="宋体"/>
                <w:szCs w:val="21"/>
              </w:rPr>
            </w:pPr>
            <w:r w:rsidRPr="000A68FE">
              <w:rPr>
                <w:rFonts w:ascii="宋体" w:hAnsi="宋体" w:cs="宋体" w:hint="eastAsia"/>
                <w:szCs w:val="21"/>
              </w:rPr>
              <w:t>对重大项目从立项、环评、审批、验收的技术文件进行初步审查和评议；对企业存在的环保问题进行检查并提出整改意见和要求；负责对环保行政处罚案件进行初步审查；负责对下属单位工作人员进行业务能力提升培训；负责研究和解读环保法律法规，并提出相应的落实措施；根据领导要求，承办和落实其他相关工作。</w:t>
            </w:r>
          </w:p>
        </w:tc>
        <w:tc>
          <w:tcPr>
            <w:tcW w:w="4290" w:type="dxa"/>
            <w:vAlign w:val="center"/>
          </w:tcPr>
          <w:p w:rsidR="00745DEA" w:rsidRPr="000A68FE" w:rsidRDefault="00745DEA" w:rsidP="00A46943">
            <w:pPr>
              <w:spacing w:line="260" w:lineRule="exact"/>
              <w:rPr>
                <w:rFonts w:ascii="宋体" w:hAnsi="宋体"/>
                <w:color w:val="000000"/>
                <w:szCs w:val="21"/>
              </w:rPr>
            </w:pPr>
            <w:r w:rsidRPr="000A68FE">
              <w:rPr>
                <w:rFonts w:ascii="宋体" w:hAnsi="宋体" w:hint="eastAsia"/>
                <w:color w:val="000000"/>
                <w:szCs w:val="21"/>
              </w:rPr>
              <w:t>1.年龄45周岁及以下；</w:t>
            </w:r>
          </w:p>
          <w:p w:rsidR="00745DEA" w:rsidRPr="000A68FE" w:rsidRDefault="00745DEA" w:rsidP="00A46943">
            <w:pPr>
              <w:spacing w:line="260" w:lineRule="exact"/>
              <w:rPr>
                <w:rFonts w:ascii="宋体" w:hAnsi="宋体"/>
                <w:color w:val="000000"/>
                <w:szCs w:val="21"/>
              </w:rPr>
            </w:pPr>
            <w:r w:rsidRPr="000A68FE">
              <w:rPr>
                <w:rFonts w:ascii="宋体" w:hAnsi="宋体" w:hint="eastAsia"/>
                <w:color w:val="000000"/>
                <w:szCs w:val="21"/>
              </w:rPr>
              <w:t>2.全日制普通高校环境保护、化学化工类专业硕士研究生及以上学历，取得相应学位；</w:t>
            </w:r>
          </w:p>
          <w:p w:rsidR="00745DEA" w:rsidRPr="000A68FE" w:rsidRDefault="00745DEA" w:rsidP="00A46943">
            <w:pPr>
              <w:spacing w:line="260" w:lineRule="exact"/>
              <w:rPr>
                <w:rFonts w:ascii="宋体" w:hAnsi="宋体"/>
                <w:color w:val="000000"/>
                <w:szCs w:val="21"/>
              </w:rPr>
            </w:pPr>
            <w:r w:rsidRPr="000A68FE">
              <w:rPr>
                <w:rFonts w:ascii="宋体" w:hAnsi="宋体" w:hint="eastAsia"/>
                <w:color w:val="000000"/>
                <w:szCs w:val="21"/>
              </w:rPr>
              <w:t>3.具有5年以上环境管理工作经验；</w:t>
            </w:r>
          </w:p>
          <w:p w:rsidR="00745DEA" w:rsidRPr="000A68FE" w:rsidRDefault="00745DEA" w:rsidP="00A46943">
            <w:pPr>
              <w:spacing w:line="260" w:lineRule="exact"/>
              <w:rPr>
                <w:rFonts w:ascii="宋体" w:hAnsi="宋体"/>
                <w:color w:val="000000"/>
                <w:szCs w:val="21"/>
              </w:rPr>
            </w:pPr>
            <w:r w:rsidRPr="000A68FE">
              <w:rPr>
                <w:rFonts w:ascii="宋体" w:hAnsi="宋体" w:hint="eastAsia"/>
                <w:color w:val="000000"/>
                <w:szCs w:val="21"/>
              </w:rPr>
              <w:t>4.熟悉环保法律法规，熟悉化工、印染、金属表面处理等重污染企业的污染防治工作，有较强的分析问题和解决问题能力；</w:t>
            </w:r>
          </w:p>
          <w:p w:rsidR="00745DEA" w:rsidRPr="000A68FE" w:rsidRDefault="00745DEA" w:rsidP="00A46943">
            <w:pPr>
              <w:widowControl/>
              <w:spacing w:line="260" w:lineRule="exact"/>
              <w:rPr>
                <w:rFonts w:ascii="宋体" w:hAnsi="宋体"/>
                <w:color w:val="000000"/>
                <w:szCs w:val="21"/>
              </w:rPr>
            </w:pPr>
            <w:r w:rsidRPr="000A68FE">
              <w:rPr>
                <w:rFonts w:ascii="宋体" w:hAnsi="宋体" w:hint="eastAsia"/>
                <w:color w:val="000000"/>
                <w:szCs w:val="21"/>
              </w:rPr>
              <w:t>5.具有较强的组织协调能力和团队协作精神。</w:t>
            </w:r>
          </w:p>
        </w:tc>
      </w:tr>
    </w:tbl>
    <w:p w:rsidR="00745DEA" w:rsidRDefault="00745DEA" w:rsidP="0071287F">
      <w:pPr>
        <w:widowControl/>
        <w:spacing w:line="450" w:lineRule="atLeast"/>
        <w:jc w:val="center"/>
        <w:rPr>
          <w:color w:val="000000"/>
          <w:kern w:val="0"/>
          <w:szCs w:val="21"/>
        </w:rPr>
      </w:pPr>
    </w:p>
    <w:sectPr w:rsidR="00745DEA" w:rsidSect="000A68FE">
      <w:headerReference w:type="default" r:id="rId6"/>
      <w:footerReference w:type="default" r:id="rId7"/>
      <w:pgSz w:w="11906" w:h="16838" w:code="9"/>
      <w:pgMar w:top="1985" w:right="1644" w:bottom="1418" w:left="1644"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99" w:rsidRDefault="00EB7699" w:rsidP="001752A2">
      <w:r>
        <w:separator/>
      </w:r>
    </w:p>
  </w:endnote>
  <w:endnote w:type="continuationSeparator" w:id="1">
    <w:p w:rsidR="00EB7699" w:rsidRDefault="00EB7699" w:rsidP="001752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12" w:rsidRDefault="001752A2">
    <w:pPr>
      <w:pStyle w:val="a4"/>
      <w:jc w:val="center"/>
    </w:pPr>
    <w:r>
      <w:fldChar w:fldCharType="begin"/>
    </w:r>
    <w:r w:rsidR="00745DEA">
      <w:instrText>PAGE   \* MERGEFORMAT</w:instrText>
    </w:r>
    <w:r>
      <w:fldChar w:fldCharType="separate"/>
    </w:r>
    <w:r w:rsidR="0071287F" w:rsidRPr="0071287F">
      <w:rPr>
        <w:noProof/>
        <w:lang w:val="zh-CN"/>
      </w:rPr>
      <w:t>2</w:t>
    </w:r>
    <w:r>
      <w:fldChar w:fldCharType="end"/>
    </w:r>
  </w:p>
  <w:p w:rsidR="00200612" w:rsidRDefault="00EB76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99" w:rsidRDefault="00EB7699" w:rsidP="001752A2">
      <w:r>
        <w:separator/>
      </w:r>
    </w:p>
  </w:footnote>
  <w:footnote w:type="continuationSeparator" w:id="1">
    <w:p w:rsidR="00EB7699" w:rsidRDefault="00EB7699" w:rsidP="00175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612" w:rsidRDefault="00EB7699" w:rsidP="004C685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5DEA"/>
    <w:rsid w:val="00001C01"/>
    <w:rsid w:val="00006EDA"/>
    <w:rsid w:val="00021AA8"/>
    <w:rsid w:val="00022F2C"/>
    <w:rsid w:val="00037798"/>
    <w:rsid w:val="00091C68"/>
    <w:rsid w:val="00092F17"/>
    <w:rsid w:val="000960EF"/>
    <w:rsid w:val="000A77CB"/>
    <w:rsid w:val="000B16AF"/>
    <w:rsid w:val="000B6E14"/>
    <w:rsid w:val="000D2769"/>
    <w:rsid w:val="000D741F"/>
    <w:rsid w:val="00104321"/>
    <w:rsid w:val="00113893"/>
    <w:rsid w:val="00116E10"/>
    <w:rsid w:val="001245AB"/>
    <w:rsid w:val="00137ACD"/>
    <w:rsid w:val="001446F3"/>
    <w:rsid w:val="00156BEB"/>
    <w:rsid w:val="00171A3E"/>
    <w:rsid w:val="001752A2"/>
    <w:rsid w:val="00194EC9"/>
    <w:rsid w:val="001A022F"/>
    <w:rsid w:val="001A3D30"/>
    <w:rsid w:val="001A4599"/>
    <w:rsid w:val="001A7D9E"/>
    <w:rsid w:val="001C1EAA"/>
    <w:rsid w:val="001D79D0"/>
    <w:rsid w:val="001F14D7"/>
    <w:rsid w:val="001F2318"/>
    <w:rsid w:val="0020574E"/>
    <w:rsid w:val="00206E75"/>
    <w:rsid w:val="00220264"/>
    <w:rsid w:val="00224C3A"/>
    <w:rsid w:val="00230503"/>
    <w:rsid w:val="00231FE0"/>
    <w:rsid w:val="00251827"/>
    <w:rsid w:val="002643E6"/>
    <w:rsid w:val="002660E0"/>
    <w:rsid w:val="002756E7"/>
    <w:rsid w:val="00276421"/>
    <w:rsid w:val="002A0BC8"/>
    <w:rsid w:val="002A5210"/>
    <w:rsid w:val="002A5C78"/>
    <w:rsid w:val="002A646C"/>
    <w:rsid w:val="002B349E"/>
    <w:rsid w:val="002D6090"/>
    <w:rsid w:val="002E4A69"/>
    <w:rsid w:val="002F5DFD"/>
    <w:rsid w:val="00304B26"/>
    <w:rsid w:val="00305257"/>
    <w:rsid w:val="0030605A"/>
    <w:rsid w:val="00331A47"/>
    <w:rsid w:val="00335B7F"/>
    <w:rsid w:val="00375C49"/>
    <w:rsid w:val="00380E38"/>
    <w:rsid w:val="003821ED"/>
    <w:rsid w:val="00387C92"/>
    <w:rsid w:val="0039538C"/>
    <w:rsid w:val="003A657D"/>
    <w:rsid w:val="003D74E7"/>
    <w:rsid w:val="003E71A0"/>
    <w:rsid w:val="003F5B4C"/>
    <w:rsid w:val="004026D5"/>
    <w:rsid w:val="00407084"/>
    <w:rsid w:val="00410247"/>
    <w:rsid w:val="004156AC"/>
    <w:rsid w:val="00417D8C"/>
    <w:rsid w:val="004308AF"/>
    <w:rsid w:val="0043210C"/>
    <w:rsid w:val="004344F8"/>
    <w:rsid w:val="00443095"/>
    <w:rsid w:val="004455EA"/>
    <w:rsid w:val="0046703F"/>
    <w:rsid w:val="00490441"/>
    <w:rsid w:val="004A0CA1"/>
    <w:rsid w:val="004B2FA7"/>
    <w:rsid w:val="004B796D"/>
    <w:rsid w:val="004C4DB3"/>
    <w:rsid w:val="004C6F16"/>
    <w:rsid w:val="004D01D7"/>
    <w:rsid w:val="004E68D2"/>
    <w:rsid w:val="004F099D"/>
    <w:rsid w:val="005009F9"/>
    <w:rsid w:val="00504AE6"/>
    <w:rsid w:val="0051767D"/>
    <w:rsid w:val="00555619"/>
    <w:rsid w:val="00555C49"/>
    <w:rsid w:val="00557592"/>
    <w:rsid w:val="00577C90"/>
    <w:rsid w:val="00583004"/>
    <w:rsid w:val="005962A0"/>
    <w:rsid w:val="005A3390"/>
    <w:rsid w:val="005B0E8D"/>
    <w:rsid w:val="005C1828"/>
    <w:rsid w:val="005E2B72"/>
    <w:rsid w:val="005F74AB"/>
    <w:rsid w:val="00604D70"/>
    <w:rsid w:val="006075A2"/>
    <w:rsid w:val="00617CA7"/>
    <w:rsid w:val="006273BE"/>
    <w:rsid w:val="00636386"/>
    <w:rsid w:val="006364B6"/>
    <w:rsid w:val="00642467"/>
    <w:rsid w:val="006424CF"/>
    <w:rsid w:val="00647FF5"/>
    <w:rsid w:val="00661B1A"/>
    <w:rsid w:val="00673ABA"/>
    <w:rsid w:val="00674FFD"/>
    <w:rsid w:val="006765B5"/>
    <w:rsid w:val="00683C20"/>
    <w:rsid w:val="00684CBC"/>
    <w:rsid w:val="00692451"/>
    <w:rsid w:val="006944F4"/>
    <w:rsid w:val="00697796"/>
    <w:rsid w:val="006A2D69"/>
    <w:rsid w:val="006A5EBC"/>
    <w:rsid w:val="006B077A"/>
    <w:rsid w:val="006B184B"/>
    <w:rsid w:val="006B1A9C"/>
    <w:rsid w:val="006B4C15"/>
    <w:rsid w:val="006C0577"/>
    <w:rsid w:val="006C5C62"/>
    <w:rsid w:val="006D3B2B"/>
    <w:rsid w:val="006D5264"/>
    <w:rsid w:val="006D6779"/>
    <w:rsid w:val="00702376"/>
    <w:rsid w:val="007042D0"/>
    <w:rsid w:val="0071287F"/>
    <w:rsid w:val="00742037"/>
    <w:rsid w:val="00745DEA"/>
    <w:rsid w:val="0075438D"/>
    <w:rsid w:val="00766E75"/>
    <w:rsid w:val="007961BA"/>
    <w:rsid w:val="007974AD"/>
    <w:rsid w:val="007B222A"/>
    <w:rsid w:val="007B4652"/>
    <w:rsid w:val="007D2446"/>
    <w:rsid w:val="00801FDB"/>
    <w:rsid w:val="00821D3B"/>
    <w:rsid w:val="00825FBF"/>
    <w:rsid w:val="00837132"/>
    <w:rsid w:val="008404ED"/>
    <w:rsid w:val="00846336"/>
    <w:rsid w:val="00860E98"/>
    <w:rsid w:val="00872E80"/>
    <w:rsid w:val="008A7358"/>
    <w:rsid w:val="008D48B3"/>
    <w:rsid w:val="008F3995"/>
    <w:rsid w:val="009004E3"/>
    <w:rsid w:val="0091220B"/>
    <w:rsid w:val="00915580"/>
    <w:rsid w:val="0091742A"/>
    <w:rsid w:val="00917846"/>
    <w:rsid w:val="00920F1B"/>
    <w:rsid w:val="00925E3F"/>
    <w:rsid w:val="00940175"/>
    <w:rsid w:val="0094356C"/>
    <w:rsid w:val="00944C9B"/>
    <w:rsid w:val="009521A8"/>
    <w:rsid w:val="00981DD1"/>
    <w:rsid w:val="00982B45"/>
    <w:rsid w:val="009A1156"/>
    <w:rsid w:val="009A7ACF"/>
    <w:rsid w:val="009C0518"/>
    <w:rsid w:val="009C373D"/>
    <w:rsid w:val="009C4637"/>
    <w:rsid w:val="009D5270"/>
    <w:rsid w:val="009E14EA"/>
    <w:rsid w:val="009E4C10"/>
    <w:rsid w:val="009E6099"/>
    <w:rsid w:val="009F057D"/>
    <w:rsid w:val="00A06DAC"/>
    <w:rsid w:val="00A06F4A"/>
    <w:rsid w:val="00A23909"/>
    <w:rsid w:val="00A3366C"/>
    <w:rsid w:val="00A45785"/>
    <w:rsid w:val="00A46718"/>
    <w:rsid w:val="00A46BCB"/>
    <w:rsid w:val="00A5144A"/>
    <w:rsid w:val="00A57F76"/>
    <w:rsid w:val="00A71DE8"/>
    <w:rsid w:val="00A82A42"/>
    <w:rsid w:val="00AA6A44"/>
    <w:rsid w:val="00AB497F"/>
    <w:rsid w:val="00AD0DFC"/>
    <w:rsid w:val="00AE1CAC"/>
    <w:rsid w:val="00AE1EBD"/>
    <w:rsid w:val="00AE52A1"/>
    <w:rsid w:val="00AE54D5"/>
    <w:rsid w:val="00AE708D"/>
    <w:rsid w:val="00B0176D"/>
    <w:rsid w:val="00B36A07"/>
    <w:rsid w:val="00B4201C"/>
    <w:rsid w:val="00B540EE"/>
    <w:rsid w:val="00B61947"/>
    <w:rsid w:val="00B65971"/>
    <w:rsid w:val="00B718AF"/>
    <w:rsid w:val="00B7323B"/>
    <w:rsid w:val="00B73B56"/>
    <w:rsid w:val="00B75824"/>
    <w:rsid w:val="00B82AA9"/>
    <w:rsid w:val="00B91E37"/>
    <w:rsid w:val="00B94D51"/>
    <w:rsid w:val="00BA0278"/>
    <w:rsid w:val="00BB2056"/>
    <w:rsid w:val="00BB7CD6"/>
    <w:rsid w:val="00BC348B"/>
    <w:rsid w:val="00BF32B0"/>
    <w:rsid w:val="00BF71C8"/>
    <w:rsid w:val="00BF7F73"/>
    <w:rsid w:val="00C14327"/>
    <w:rsid w:val="00C74436"/>
    <w:rsid w:val="00C770D2"/>
    <w:rsid w:val="00C77588"/>
    <w:rsid w:val="00C80A74"/>
    <w:rsid w:val="00C848C2"/>
    <w:rsid w:val="00C8616B"/>
    <w:rsid w:val="00C968C7"/>
    <w:rsid w:val="00CA0213"/>
    <w:rsid w:val="00CA3212"/>
    <w:rsid w:val="00CB7C04"/>
    <w:rsid w:val="00CC3C7F"/>
    <w:rsid w:val="00CD62E2"/>
    <w:rsid w:val="00CD642C"/>
    <w:rsid w:val="00CE18A1"/>
    <w:rsid w:val="00CF5ED5"/>
    <w:rsid w:val="00D0025F"/>
    <w:rsid w:val="00D054A7"/>
    <w:rsid w:val="00D119A0"/>
    <w:rsid w:val="00D212CA"/>
    <w:rsid w:val="00D228F2"/>
    <w:rsid w:val="00D31882"/>
    <w:rsid w:val="00D34CD8"/>
    <w:rsid w:val="00D40C4D"/>
    <w:rsid w:val="00D41B85"/>
    <w:rsid w:val="00D4344C"/>
    <w:rsid w:val="00D452BD"/>
    <w:rsid w:val="00D560F3"/>
    <w:rsid w:val="00D57469"/>
    <w:rsid w:val="00D61125"/>
    <w:rsid w:val="00D66111"/>
    <w:rsid w:val="00D77BA3"/>
    <w:rsid w:val="00DA16E3"/>
    <w:rsid w:val="00DB3A0D"/>
    <w:rsid w:val="00DC5905"/>
    <w:rsid w:val="00DD1CDD"/>
    <w:rsid w:val="00DD744E"/>
    <w:rsid w:val="00DE16DC"/>
    <w:rsid w:val="00DE3719"/>
    <w:rsid w:val="00DF0449"/>
    <w:rsid w:val="00DF393C"/>
    <w:rsid w:val="00E00AE9"/>
    <w:rsid w:val="00E01A1C"/>
    <w:rsid w:val="00E03655"/>
    <w:rsid w:val="00E10EF5"/>
    <w:rsid w:val="00E22184"/>
    <w:rsid w:val="00E222A5"/>
    <w:rsid w:val="00E40D89"/>
    <w:rsid w:val="00E458E2"/>
    <w:rsid w:val="00E5211A"/>
    <w:rsid w:val="00E702D5"/>
    <w:rsid w:val="00E706B9"/>
    <w:rsid w:val="00E74C1C"/>
    <w:rsid w:val="00E86256"/>
    <w:rsid w:val="00E87636"/>
    <w:rsid w:val="00E9389E"/>
    <w:rsid w:val="00E9680E"/>
    <w:rsid w:val="00EB4CC3"/>
    <w:rsid w:val="00EB52A0"/>
    <w:rsid w:val="00EB7699"/>
    <w:rsid w:val="00ED34AA"/>
    <w:rsid w:val="00ED537A"/>
    <w:rsid w:val="00EE16EC"/>
    <w:rsid w:val="00EF0690"/>
    <w:rsid w:val="00EF0E19"/>
    <w:rsid w:val="00EF2A07"/>
    <w:rsid w:val="00F31A99"/>
    <w:rsid w:val="00F41072"/>
    <w:rsid w:val="00F4218E"/>
    <w:rsid w:val="00F428A7"/>
    <w:rsid w:val="00F42ED7"/>
    <w:rsid w:val="00F47EF1"/>
    <w:rsid w:val="00F52944"/>
    <w:rsid w:val="00F5702A"/>
    <w:rsid w:val="00F606CF"/>
    <w:rsid w:val="00F60931"/>
    <w:rsid w:val="00F63C27"/>
    <w:rsid w:val="00F71492"/>
    <w:rsid w:val="00F74307"/>
    <w:rsid w:val="00F826EE"/>
    <w:rsid w:val="00F974A1"/>
    <w:rsid w:val="00F9795B"/>
    <w:rsid w:val="00F97BF0"/>
    <w:rsid w:val="00FA13DA"/>
    <w:rsid w:val="00FA3458"/>
    <w:rsid w:val="00FD47AF"/>
    <w:rsid w:val="00FE0FD0"/>
    <w:rsid w:val="00FE5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DEA"/>
    <w:pPr>
      <w:pBdr>
        <w:bottom w:val="single" w:sz="6" w:space="1" w:color="auto"/>
      </w:pBdr>
      <w:tabs>
        <w:tab w:val="center" w:pos="4153"/>
        <w:tab w:val="right" w:pos="8306"/>
      </w:tabs>
      <w:snapToGrid w:val="0"/>
      <w:jc w:val="center"/>
    </w:pPr>
    <w:rPr>
      <w:sz w:val="18"/>
      <w:szCs w:val="18"/>
      <w:lang/>
    </w:rPr>
  </w:style>
  <w:style w:type="character" w:customStyle="1" w:styleId="Char">
    <w:name w:val="页眉 Char"/>
    <w:basedOn w:val="a0"/>
    <w:link w:val="a3"/>
    <w:rsid w:val="00745DEA"/>
    <w:rPr>
      <w:rFonts w:ascii="Times New Roman" w:eastAsia="宋体" w:hAnsi="Times New Roman" w:cs="Times New Roman"/>
      <w:sz w:val="18"/>
      <w:szCs w:val="18"/>
      <w:lang/>
    </w:rPr>
  </w:style>
  <w:style w:type="paragraph" w:styleId="a4">
    <w:name w:val="footer"/>
    <w:basedOn w:val="a"/>
    <w:link w:val="Char0"/>
    <w:uiPriority w:val="99"/>
    <w:rsid w:val="00745DEA"/>
    <w:pPr>
      <w:tabs>
        <w:tab w:val="center" w:pos="4153"/>
        <w:tab w:val="right" w:pos="8306"/>
      </w:tabs>
      <w:snapToGrid w:val="0"/>
      <w:jc w:val="left"/>
    </w:pPr>
    <w:rPr>
      <w:sz w:val="18"/>
      <w:szCs w:val="18"/>
      <w:lang/>
    </w:rPr>
  </w:style>
  <w:style w:type="character" w:customStyle="1" w:styleId="Char0">
    <w:name w:val="页脚 Char"/>
    <w:basedOn w:val="a0"/>
    <w:link w:val="a4"/>
    <w:uiPriority w:val="99"/>
    <w:rsid w:val="00745DEA"/>
    <w:rPr>
      <w:rFonts w:ascii="Times New Roman" w:eastAsia="宋体" w:hAnsi="Times New Roman" w:cs="Times New Roman"/>
      <w:sz w:val="18"/>
      <w:szCs w:val="1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D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5DEA"/>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rsid w:val="00745DEA"/>
    <w:rPr>
      <w:rFonts w:ascii="Times New Roman" w:eastAsia="宋体" w:hAnsi="Times New Roman" w:cs="Times New Roman"/>
      <w:sz w:val="18"/>
      <w:szCs w:val="18"/>
      <w:lang w:val="x-none" w:eastAsia="x-none"/>
    </w:rPr>
  </w:style>
  <w:style w:type="paragraph" w:styleId="a4">
    <w:name w:val="footer"/>
    <w:basedOn w:val="a"/>
    <w:link w:val="Char0"/>
    <w:uiPriority w:val="99"/>
    <w:rsid w:val="00745DEA"/>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745DEA"/>
    <w:rPr>
      <w:rFonts w:ascii="Times New Roman" w:eastAsia="宋体" w:hAnsi="Times New Roman" w:cs="Times New Roman"/>
      <w:sz w:val="18"/>
      <w:szCs w:val="18"/>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曾美兰</dc:creator>
  <cp:keywords/>
  <dc:description/>
  <cp:lastModifiedBy>微软用户</cp:lastModifiedBy>
  <cp:revision>2</cp:revision>
  <dcterms:created xsi:type="dcterms:W3CDTF">2014-12-18T01:01:00Z</dcterms:created>
  <dcterms:modified xsi:type="dcterms:W3CDTF">2014-12-18T01:36:00Z</dcterms:modified>
</cp:coreProperties>
</file>