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5" w:rsidRPr="00D84BEC" w:rsidRDefault="00DF2875" w:rsidP="00DF2875">
      <w:pPr>
        <w:rPr>
          <w:rFonts w:ascii="方正仿宋_GBK" w:eastAsia="方正仿宋_GBK"/>
          <w:sz w:val="32"/>
          <w:szCs w:val="32"/>
        </w:rPr>
      </w:pPr>
      <w:r w:rsidRPr="00D84BEC">
        <w:rPr>
          <w:rFonts w:ascii="方正仿宋_GBK" w:eastAsia="方正仿宋_GBK" w:hint="eastAsia"/>
          <w:sz w:val="32"/>
          <w:szCs w:val="32"/>
        </w:rPr>
        <w:t>附件1</w:t>
      </w:r>
    </w:p>
    <w:p w:rsidR="00DF2875" w:rsidRPr="00551601" w:rsidRDefault="00DF2875" w:rsidP="00DF2875">
      <w:pPr>
        <w:jc w:val="center"/>
        <w:rPr>
          <w:rFonts w:ascii="方正小标宋_GBK" w:eastAsia="方正小标宋_GBK"/>
          <w:spacing w:val="-26"/>
          <w:sz w:val="44"/>
          <w:szCs w:val="44"/>
        </w:rPr>
      </w:pPr>
      <w:r w:rsidRPr="00551601">
        <w:rPr>
          <w:rFonts w:ascii="方正小标宋_GBK" w:eastAsia="方正小标宋_GBK" w:hint="eastAsia"/>
          <w:spacing w:val="-26"/>
          <w:sz w:val="44"/>
          <w:szCs w:val="44"/>
        </w:rPr>
        <w:t>江苏省食品药品监督管理局聘任制公务员招聘简章</w:t>
      </w:r>
    </w:p>
    <w:tbl>
      <w:tblPr>
        <w:tblW w:w="10244" w:type="dxa"/>
        <w:jc w:val="center"/>
        <w:tblInd w:w="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85"/>
        <w:gridCol w:w="1135"/>
        <w:gridCol w:w="709"/>
        <w:gridCol w:w="2679"/>
        <w:gridCol w:w="5036"/>
      </w:tblGrid>
      <w:tr w:rsidR="00DF2875" w:rsidRPr="005C3893" w:rsidTr="00A46943">
        <w:trPr>
          <w:trHeight w:val="424"/>
          <w:tblHeader/>
          <w:jc w:val="center"/>
        </w:trPr>
        <w:tc>
          <w:tcPr>
            <w:tcW w:w="685" w:type="dxa"/>
            <w:vMerge w:val="restart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聘任职位</w:t>
            </w:r>
          </w:p>
        </w:tc>
        <w:tc>
          <w:tcPr>
            <w:tcW w:w="709" w:type="dxa"/>
            <w:vMerge w:val="restart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招聘人数</w:t>
            </w:r>
          </w:p>
        </w:tc>
        <w:tc>
          <w:tcPr>
            <w:tcW w:w="2679" w:type="dxa"/>
            <w:vMerge w:val="restart"/>
            <w:tcBorders>
              <w:righ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职位说明</w:t>
            </w:r>
          </w:p>
        </w:tc>
        <w:tc>
          <w:tcPr>
            <w:tcW w:w="5036" w:type="dxa"/>
            <w:vMerge w:val="restart"/>
            <w:tcBorders>
              <w:lef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职位资格条件</w:t>
            </w:r>
          </w:p>
        </w:tc>
      </w:tr>
      <w:tr w:rsidR="00DF2875" w:rsidRPr="005C3893" w:rsidTr="00A46943">
        <w:trPr>
          <w:trHeight w:val="415"/>
          <w:tblHeader/>
          <w:jc w:val="center"/>
        </w:trPr>
        <w:tc>
          <w:tcPr>
            <w:tcW w:w="685" w:type="dxa"/>
            <w:vMerge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79" w:type="dxa"/>
            <w:vMerge/>
            <w:tcBorders>
              <w:righ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F2875" w:rsidRPr="005C3893" w:rsidTr="00A46943">
        <w:trPr>
          <w:trHeight w:val="4444"/>
          <w:jc w:val="center"/>
        </w:trPr>
        <w:tc>
          <w:tcPr>
            <w:tcW w:w="685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省食品药品监督管理局泰州医药高新技术</w:t>
            </w:r>
            <w:r>
              <w:rPr>
                <w:rFonts w:ascii="宋体" w:hAnsi="宋体" w:hint="eastAsia"/>
                <w:color w:val="000000"/>
                <w:szCs w:val="21"/>
              </w:rPr>
              <w:t>产业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开发区直属分局药品注册监管主管</w:t>
            </w:r>
          </w:p>
        </w:tc>
        <w:tc>
          <w:tcPr>
            <w:tcW w:w="709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F1860">
              <w:rPr>
                <w:rFonts w:ascii="宋体" w:hAnsi="宋体" w:hint="eastAsia"/>
                <w:kern w:val="0"/>
                <w:szCs w:val="21"/>
              </w:rPr>
              <w:t>熟悉药品注册相关法律法规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根据</w:t>
            </w:r>
            <w:r>
              <w:rPr>
                <w:rFonts w:ascii="宋体" w:hAnsi="宋体" w:hint="eastAsia"/>
                <w:kern w:val="0"/>
                <w:szCs w:val="21"/>
              </w:rPr>
              <w:t>江苏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省食品药品监督管理局的授权和有关工作要求，完成药品注册申请形式审查及受理工作；完成药品注册申请研制现场核查及生产现场检查工作；完成受理药品品种跟踪管理分析工作；与国家</w:t>
            </w:r>
            <w:r>
              <w:rPr>
                <w:rFonts w:ascii="宋体" w:hAnsi="宋体" w:hint="eastAsia"/>
                <w:kern w:val="0"/>
                <w:szCs w:val="21"/>
              </w:rPr>
              <w:t>食品药品监督管理总局及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相关</w:t>
            </w:r>
            <w:r>
              <w:rPr>
                <w:rFonts w:ascii="宋体" w:hAnsi="宋体" w:hint="eastAsia"/>
                <w:kern w:val="0"/>
                <w:szCs w:val="21"/>
              </w:rPr>
              <w:t>审评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机构有效沟通，</w:t>
            </w:r>
            <w:r>
              <w:rPr>
                <w:rFonts w:ascii="宋体" w:hAnsi="宋体" w:hint="eastAsia"/>
                <w:kern w:val="0"/>
                <w:szCs w:val="21"/>
              </w:rPr>
              <w:t>做好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药品审评工作；完成领导交办的其他工作。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年龄45周岁以下；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全日制普通高校硕士研究生及以上学历</w:t>
            </w: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，药物化学、药剂学、药物分析学、微生物与生化药学，临床医学、药学（临床药学方向）专业；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从事药品研发3</w:t>
            </w:r>
            <w:r>
              <w:rPr>
                <w:rFonts w:ascii="宋体" w:hAnsi="宋体" w:hint="eastAsia"/>
                <w:color w:val="000000"/>
                <w:szCs w:val="21"/>
              </w:rPr>
              <w:t>年以上并担任过药品研发课题负责人，且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担任过3年以上药品注册申报负责人，有与相关审评机构良好沟通的工作经历；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熟悉药品注册相关法律法规，能独立承担药品注册申请形式审查及受理工作，能独立承担药品注册申请研制现场核查及生产现场检查工作，能与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国家</w:t>
            </w:r>
            <w:r>
              <w:rPr>
                <w:rFonts w:ascii="宋体" w:hAnsi="宋体" w:hint="eastAsia"/>
                <w:kern w:val="0"/>
                <w:szCs w:val="21"/>
              </w:rPr>
              <w:t>食品药品监督管理总局及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相关</w:t>
            </w:r>
            <w:r>
              <w:rPr>
                <w:rFonts w:ascii="宋体" w:hAnsi="宋体" w:hint="eastAsia"/>
                <w:kern w:val="0"/>
                <w:szCs w:val="21"/>
              </w:rPr>
              <w:t>审评</w:t>
            </w:r>
            <w:r w:rsidRPr="00266874">
              <w:rPr>
                <w:rFonts w:ascii="宋体" w:hAnsi="宋体" w:hint="eastAsia"/>
                <w:kern w:val="0"/>
                <w:szCs w:val="21"/>
              </w:rPr>
              <w:t>机构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有效沟通，促进药品审评工作；</w:t>
            </w:r>
          </w:p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具有较强的综合分析和独立研究能力，具有较好的组织管理和沟通协调能力，具有良好的职业道德和团队合作精神。</w:t>
            </w:r>
          </w:p>
        </w:tc>
      </w:tr>
      <w:tr w:rsidR="00DF2875" w:rsidRPr="005C3893" w:rsidTr="00A46943">
        <w:trPr>
          <w:trHeight w:val="4933"/>
          <w:jc w:val="center"/>
        </w:trPr>
        <w:tc>
          <w:tcPr>
            <w:tcW w:w="685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省食品药品监督管理局泰州医药高新技术</w:t>
            </w:r>
            <w:r>
              <w:rPr>
                <w:rFonts w:ascii="宋体" w:hAnsi="宋体" w:hint="eastAsia"/>
                <w:color w:val="000000"/>
                <w:szCs w:val="21"/>
              </w:rPr>
              <w:t>产业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开发区直属分局药品生产监管主管</w:t>
            </w:r>
          </w:p>
        </w:tc>
        <w:tc>
          <w:tcPr>
            <w:tcW w:w="709" w:type="dxa"/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kern w:val="0"/>
                <w:szCs w:val="21"/>
              </w:rPr>
              <w:t>熟悉国内药品生产相关法律法规，根据江苏省食品药品监督管理局的授权，按要求完成药品生产企业行政许可申请材料的形式审查及受理工作；承担药品生产企业行政许可及认证的现场检查工作；指导市局对药品生产企业进行日常监管；熟悉美国和欧盟GMP（《药品生产质量管理规范》）等相关法律法规，能对省内药品生产企业通过相关认证给予有效指导；完成领导交办的其他工作。</w:t>
            </w: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年龄45周岁以下；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全日制普通高校大学及以上学历，</w:t>
            </w:r>
            <w:r>
              <w:rPr>
                <w:rFonts w:ascii="宋体" w:hAnsi="宋体" w:hint="eastAsia"/>
                <w:color w:val="000000"/>
                <w:szCs w:val="21"/>
              </w:rPr>
              <w:t>学士及以上学位，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药物化学、药剂学、药物分析学、微生物与生化药学、生物工程、生物制药、药物制剂、中药制药、药学、中药学、制药工程专业；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有5年以上的药品生产管理及质量管理工作经验，作为主要成员参加过美国或欧盟GMP认证相关工作并有过成功通过认证的经历，具有美国或欧盟药品监管机构或认证机构工作经历者优先，具有化学制药、生物制药企业工作经历者优先；</w:t>
            </w:r>
          </w:p>
          <w:p w:rsidR="00DF2875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熟悉国内药品生产相关法律法规，能独立承担药品生产企业行政许可申请材料的形式审查及受理工作，能独立承担对药品生产企业行政许可及认证的现场检查工作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熟悉美国、欧盟GMP，能熟练运用英语进行专业交流，能对省内药品生产企业通过美国、欧盟GMP认证给予有效指导；</w:t>
            </w:r>
          </w:p>
          <w:p w:rsidR="00DF2875" w:rsidRPr="00266874" w:rsidRDefault="00DF2875" w:rsidP="00A46943">
            <w:pPr>
              <w:suppressAutoHyphens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266874"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 w:rsidRPr="00266874">
              <w:rPr>
                <w:rFonts w:ascii="宋体" w:hAnsi="宋体" w:hint="eastAsia"/>
                <w:color w:val="000000"/>
                <w:szCs w:val="21"/>
              </w:rPr>
              <w:t>具有较强的综合分析和独立研究能力，具有较好的组织管理和沟通协调能力，具有良好的职业道德和团队合作精神。</w:t>
            </w:r>
          </w:p>
        </w:tc>
      </w:tr>
    </w:tbl>
    <w:p w:rsidR="00DF2875" w:rsidRPr="00953846" w:rsidRDefault="00DF2875" w:rsidP="00953846">
      <w:pPr>
        <w:widowControl/>
        <w:adjustRightInd w:val="0"/>
        <w:snapToGrid w:val="0"/>
        <w:spacing w:after="200" w:line="600" w:lineRule="exact"/>
        <w:jc w:val="left"/>
        <w:rPr>
          <w:rFonts w:ascii="方正仿宋_GBK" w:eastAsia="方正仿宋_GBK" w:hAnsi="宋体"/>
          <w:bCs/>
          <w:kern w:val="0"/>
          <w:sz w:val="32"/>
          <w:szCs w:val="32"/>
        </w:rPr>
      </w:pPr>
    </w:p>
    <w:sectPr w:rsidR="00DF2875" w:rsidRPr="00953846" w:rsidSect="0034394C">
      <w:headerReference w:type="default" r:id="rId6"/>
      <w:footerReference w:type="default" r:id="rId7"/>
      <w:pgSz w:w="11906" w:h="16838" w:code="9"/>
      <w:pgMar w:top="2098" w:right="1644" w:bottom="1985" w:left="1644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01" w:rsidRDefault="00510D01" w:rsidP="00DE22AA">
      <w:r>
        <w:separator/>
      </w:r>
    </w:p>
  </w:endnote>
  <w:endnote w:type="continuationSeparator" w:id="1">
    <w:p w:rsidR="00510D01" w:rsidRDefault="00510D01" w:rsidP="00DE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DE22AA">
    <w:pPr>
      <w:pStyle w:val="a4"/>
      <w:jc w:val="center"/>
    </w:pPr>
    <w:r>
      <w:fldChar w:fldCharType="begin"/>
    </w:r>
    <w:r w:rsidR="00DF2875">
      <w:instrText>PAGE   \* MERGEFORMAT</w:instrText>
    </w:r>
    <w:r>
      <w:fldChar w:fldCharType="separate"/>
    </w:r>
    <w:r w:rsidR="00953846" w:rsidRPr="00953846">
      <w:rPr>
        <w:noProof/>
        <w:lang w:val="zh-CN"/>
      </w:rPr>
      <w:t>1</w:t>
    </w:r>
    <w:r>
      <w:fldChar w:fldCharType="end"/>
    </w:r>
  </w:p>
  <w:p w:rsidR="00093690" w:rsidRDefault="00510D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01" w:rsidRDefault="00510D01" w:rsidP="00DE22AA">
      <w:r>
        <w:separator/>
      </w:r>
    </w:p>
  </w:footnote>
  <w:footnote w:type="continuationSeparator" w:id="1">
    <w:p w:rsidR="00510D01" w:rsidRDefault="00510D01" w:rsidP="00DE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0" w:rsidRDefault="00510D01" w:rsidP="000760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75"/>
    <w:rsid w:val="00001C01"/>
    <w:rsid w:val="00006EDA"/>
    <w:rsid w:val="00021AA8"/>
    <w:rsid w:val="00022F2C"/>
    <w:rsid w:val="00037798"/>
    <w:rsid w:val="00091C68"/>
    <w:rsid w:val="00092F17"/>
    <w:rsid w:val="000960EF"/>
    <w:rsid w:val="000A77CB"/>
    <w:rsid w:val="000B16AF"/>
    <w:rsid w:val="000B6E14"/>
    <w:rsid w:val="000D2769"/>
    <w:rsid w:val="000D741F"/>
    <w:rsid w:val="00104321"/>
    <w:rsid w:val="00113893"/>
    <w:rsid w:val="00116E10"/>
    <w:rsid w:val="001245AB"/>
    <w:rsid w:val="00137ACD"/>
    <w:rsid w:val="001446F3"/>
    <w:rsid w:val="00156BEB"/>
    <w:rsid w:val="00171A3E"/>
    <w:rsid w:val="00194EC9"/>
    <w:rsid w:val="001A022F"/>
    <w:rsid w:val="001A3D30"/>
    <w:rsid w:val="001A4599"/>
    <w:rsid w:val="001A7D9E"/>
    <w:rsid w:val="001C1EAA"/>
    <w:rsid w:val="001D79D0"/>
    <w:rsid w:val="001F14D7"/>
    <w:rsid w:val="001F2318"/>
    <w:rsid w:val="0020574E"/>
    <w:rsid w:val="00206E75"/>
    <w:rsid w:val="00220264"/>
    <w:rsid w:val="00224C3A"/>
    <w:rsid w:val="00230503"/>
    <w:rsid w:val="00231FE0"/>
    <w:rsid w:val="00251827"/>
    <w:rsid w:val="002643E6"/>
    <w:rsid w:val="002660E0"/>
    <w:rsid w:val="002756E7"/>
    <w:rsid w:val="00276421"/>
    <w:rsid w:val="002A0BC8"/>
    <w:rsid w:val="002A5210"/>
    <w:rsid w:val="002A5C78"/>
    <w:rsid w:val="002A646C"/>
    <w:rsid w:val="002B349E"/>
    <w:rsid w:val="002D6090"/>
    <w:rsid w:val="002E4A69"/>
    <w:rsid w:val="002F5DFD"/>
    <w:rsid w:val="00304B26"/>
    <w:rsid w:val="00305257"/>
    <w:rsid w:val="0030605A"/>
    <w:rsid w:val="00331A47"/>
    <w:rsid w:val="00335B7F"/>
    <w:rsid w:val="00375C49"/>
    <w:rsid w:val="00380E38"/>
    <w:rsid w:val="003821ED"/>
    <w:rsid w:val="00387C92"/>
    <w:rsid w:val="0039538C"/>
    <w:rsid w:val="003A657D"/>
    <w:rsid w:val="003D74E7"/>
    <w:rsid w:val="003E71A0"/>
    <w:rsid w:val="003F5B4C"/>
    <w:rsid w:val="004026D5"/>
    <w:rsid w:val="00407084"/>
    <w:rsid w:val="00410247"/>
    <w:rsid w:val="004156AC"/>
    <w:rsid w:val="00417D8C"/>
    <w:rsid w:val="004308AF"/>
    <w:rsid w:val="0043210C"/>
    <w:rsid w:val="004344F8"/>
    <w:rsid w:val="00443095"/>
    <w:rsid w:val="004455EA"/>
    <w:rsid w:val="0046703F"/>
    <w:rsid w:val="00490441"/>
    <w:rsid w:val="004A0CA1"/>
    <w:rsid w:val="004B2FA7"/>
    <w:rsid w:val="004B796D"/>
    <w:rsid w:val="004C4DB3"/>
    <w:rsid w:val="004C6F16"/>
    <w:rsid w:val="004D01D7"/>
    <w:rsid w:val="004E68D2"/>
    <w:rsid w:val="004F099D"/>
    <w:rsid w:val="005009F9"/>
    <w:rsid w:val="00504AE6"/>
    <w:rsid w:val="00510D01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4D70"/>
    <w:rsid w:val="006075A2"/>
    <w:rsid w:val="00617CA7"/>
    <w:rsid w:val="006273BE"/>
    <w:rsid w:val="00636386"/>
    <w:rsid w:val="006364B6"/>
    <w:rsid w:val="00642467"/>
    <w:rsid w:val="006424CF"/>
    <w:rsid w:val="00647FF5"/>
    <w:rsid w:val="00661B1A"/>
    <w:rsid w:val="00673ABA"/>
    <w:rsid w:val="00674FFD"/>
    <w:rsid w:val="006765B5"/>
    <w:rsid w:val="00683C20"/>
    <w:rsid w:val="00684CBC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0577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01FDB"/>
    <w:rsid w:val="00821D3B"/>
    <w:rsid w:val="00825FBF"/>
    <w:rsid w:val="00837132"/>
    <w:rsid w:val="008404ED"/>
    <w:rsid w:val="00846336"/>
    <w:rsid w:val="00860E98"/>
    <w:rsid w:val="00872E80"/>
    <w:rsid w:val="008A7358"/>
    <w:rsid w:val="008D48B3"/>
    <w:rsid w:val="008F3995"/>
    <w:rsid w:val="009004E3"/>
    <w:rsid w:val="0091220B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53846"/>
    <w:rsid w:val="00981DD1"/>
    <w:rsid w:val="00982B45"/>
    <w:rsid w:val="009A1156"/>
    <w:rsid w:val="009A7ACF"/>
    <w:rsid w:val="009C0518"/>
    <w:rsid w:val="009C373D"/>
    <w:rsid w:val="009C4637"/>
    <w:rsid w:val="009D5270"/>
    <w:rsid w:val="009E14EA"/>
    <w:rsid w:val="009E4C10"/>
    <w:rsid w:val="009E6099"/>
    <w:rsid w:val="009F057D"/>
    <w:rsid w:val="00A06DAC"/>
    <w:rsid w:val="00A06F4A"/>
    <w:rsid w:val="00A23909"/>
    <w:rsid w:val="00A3366C"/>
    <w:rsid w:val="00A45785"/>
    <w:rsid w:val="00A46718"/>
    <w:rsid w:val="00A46BCB"/>
    <w:rsid w:val="00A5144A"/>
    <w:rsid w:val="00A57F76"/>
    <w:rsid w:val="00A71DE8"/>
    <w:rsid w:val="00A82A42"/>
    <w:rsid w:val="00AA6A44"/>
    <w:rsid w:val="00AB497F"/>
    <w:rsid w:val="00AD0DFC"/>
    <w:rsid w:val="00AE1CAC"/>
    <w:rsid w:val="00AE1EBD"/>
    <w:rsid w:val="00AE52A1"/>
    <w:rsid w:val="00AE54D5"/>
    <w:rsid w:val="00AE708D"/>
    <w:rsid w:val="00B0176D"/>
    <w:rsid w:val="00B36A07"/>
    <w:rsid w:val="00B4201C"/>
    <w:rsid w:val="00B540EE"/>
    <w:rsid w:val="00B61947"/>
    <w:rsid w:val="00B65971"/>
    <w:rsid w:val="00B718AF"/>
    <w:rsid w:val="00B7323B"/>
    <w:rsid w:val="00B73B56"/>
    <w:rsid w:val="00B75824"/>
    <w:rsid w:val="00B82AA9"/>
    <w:rsid w:val="00B91E37"/>
    <w:rsid w:val="00B94D51"/>
    <w:rsid w:val="00BA0278"/>
    <w:rsid w:val="00BB2056"/>
    <w:rsid w:val="00BB7CD6"/>
    <w:rsid w:val="00BC348B"/>
    <w:rsid w:val="00BF32B0"/>
    <w:rsid w:val="00BF71C8"/>
    <w:rsid w:val="00BF7F73"/>
    <w:rsid w:val="00C14327"/>
    <w:rsid w:val="00C74436"/>
    <w:rsid w:val="00C770D2"/>
    <w:rsid w:val="00C77588"/>
    <w:rsid w:val="00C80A74"/>
    <w:rsid w:val="00C848C2"/>
    <w:rsid w:val="00C8616B"/>
    <w:rsid w:val="00C968C7"/>
    <w:rsid w:val="00CA0213"/>
    <w:rsid w:val="00CA3212"/>
    <w:rsid w:val="00CB7C04"/>
    <w:rsid w:val="00CC3C7F"/>
    <w:rsid w:val="00CD62E2"/>
    <w:rsid w:val="00CD642C"/>
    <w:rsid w:val="00CE18A1"/>
    <w:rsid w:val="00CF5ED5"/>
    <w:rsid w:val="00D0025F"/>
    <w:rsid w:val="00D054A7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B3A0D"/>
    <w:rsid w:val="00DC5905"/>
    <w:rsid w:val="00DD1CDD"/>
    <w:rsid w:val="00DD744E"/>
    <w:rsid w:val="00DE16DC"/>
    <w:rsid w:val="00DE22AA"/>
    <w:rsid w:val="00DE3719"/>
    <w:rsid w:val="00DF0449"/>
    <w:rsid w:val="00DF2875"/>
    <w:rsid w:val="00DF393C"/>
    <w:rsid w:val="00E00AE9"/>
    <w:rsid w:val="00E01A1C"/>
    <w:rsid w:val="00E03655"/>
    <w:rsid w:val="00E10EF5"/>
    <w:rsid w:val="00E22184"/>
    <w:rsid w:val="00E222A5"/>
    <w:rsid w:val="00E40D89"/>
    <w:rsid w:val="00E458E2"/>
    <w:rsid w:val="00E5211A"/>
    <w:rsid w:val="00E702D5"/>
    <w:rsid w:val="00E706B9"/>
    <w:rsid w:val="00E74C1C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31A99"/>
    <w:rsid w:val="00F41072"/>
    <w:rsid w:val="00F4218E"/>
    <w:rsid w:val="00F428A7"/>
    <w:rsid w:val="00F42ED7"/>
    <w:rsid w:val="00F47EF1"/>
    <w:rsid w:val="00F52944"/>
    <w:rsid w:val="00F5702A"/>
    <w:rsid w:val="00F606CF"/>
    <w:rsid w:val="00F60931"/>
    <w:rsid w:val="00F63C27"/>
    <w:rsid w:val="00F71492"/>
    <w:rsid w:val="00F74307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8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8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微软用户</cp:lastModifiedBy>
  <cp:revision>2</cp:revision>
  <dcterms:created xsi:type="dcterms:W3CDTF">2014-12-18T00:55:00Z</dcterms:created>
  <dcterms:modified xsi:type="dcterms:W3CDTF">2014-12-18T01:55:00Z</dcterms:modified>
</cp:coreProperties>
</file>